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5"/>
        </w:tabs>
        <w:jc w:val="center"/>
        <w:rPr>
          <w:rFonts w:hint="eastAsia" w:ascii="方正小标宋简体" w:eastAsia="方正小标宋简体"/>
          <w:sz w:val="28"/>
          <w:szCs w:val="44"/>
        </w:rPr>
      </w:pPr>
      <w:r>
        <w:rPr>
          <w:rFonts w:hint="eastAsia" w:ascii="方正小标宋简体" w:eastAsia="方正小标宋简体"/>
          <w:sz w:val="28"/>
          <w:szCs w:val="44"/>
        </w:rPr>
        <w:t xml:space="preserve">  </w:t>
      </w:r>
    </w:p>
    <w:p>
      <w:pPr>
        <w:tabs>
          <w:tab w:val="left" w:pos="425"/>
        </w:tabs>
        <w:jc w:val="center"/>
        <w:rPr>
          <w:rFonts w:ascii="黑体" w:hAnsi="黑体" w:eastAsia="黑体" w:cs="黑体"/>
          <w:sz w:val="32"/>
          <w:szCs w:val="32"/>
        </w:rPr>
      </w:pPr>
      <w:r>
        <w:rPr>
          <w:rFonts w:hint="eastAsia" w:ascii="黑体" w:hAnsi="黑体" w:eastAsia="黑体" w:cs="黑体"/>
          <w:sz w:val="32"/>
          <w:szCs w:val="32"/>
        </w:rPr>
        <w:t>技术规格/要求</w:t>
      </w:r>
      <w:r>
        <w:rPr>
          <w:rFonts w:hint="eastAsia" w:ascii="黑体" w:hAnsi="黑体" w:eastAsia="黑体" w:cs="黑体"/>
          <w:sz w:val="32"/>
          <w:szCs w:val="32"/>
          <w:lang w:val="en-US" w:eastAsia="zh-CN"/>
        </w:rPr>
        <w:t>响应情况</w:t>
      </w:r>
      <w:r>
        <w:rPr>
          <w:rFonts w:hint="eastAsia" w:ascii="黑体" w:hAnsi="黑体" w:eastAsia="黑体" w:cs="黑体"/>
          <w:sz w:val="32"/>
          <w:szCs w:val="32"/>
        </w:rPr>
        <w:t>表</w:t>
      </w:r>
    </w:p>
    <w:p>
      <w:pPr>
        <w:pStyle w:val="3"/>
        <w:rPr>
          <w:rFonts w:ascii="Times New Roman" w:hAnsi="Times New Roman"/>
          <w:b/>
        </w:rPr>
      </w:pPr>
    </w:p>
    <w:tbl>
      <w:tblPr>
        <w:tblStyle w:val="6"/>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837"/>
        <w:gridCol w:w="1380"/>
        <w:gridCol w:w="104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rPr>
                <w:b/>
              </w:rPr>
            </w:pPr>
            <w:r>
              <w:rPr>
                <w:rFonts w:hint="eastAsia"/>
                <w:b/>
              </w:rPr>
              <w:t>序号</w:t>
            </w:r>
          </w:p>
        </w:tc>
        <w:tc>
          <w:tcPr>
            <w:tcW w:w="3140" w:type="pct"/>
            <w:noWrap w:val="0"/>
            <w:vAlign w:val="top"/>
          </w:tcPr>
          <w:p>
            <w:pPr>
              <w:jc w:val="center"/>
              <w:rPr>
                <w:b/>
              </w:rPr>
            </w:pPr>
            <w:r>
              <w:rPr>
                <w:rFonts w:hint="eastAsia"/>
                <w:b/>
              </w:rPr>
              <w:t>招标规格/要求</w:t>
            </w:r>
          </w:p>
        </w:tc>
        <w:tc>
          <w:tcPr>
            <w:tcW w:w="634" w:type="pct"/>
            <w:noWrap w:val="0"/>
            <w:vAlign w:val="top"/>
          </w:tcPr>
          <w:p>
            <w:pPr>
              <w:jc w:val="center"/>
              <w:rPr>
                <w:b/>
              </w:rPr>
            </w:pPr>
            <w:r>
              <w:rPr>
                <w:rFonts w:hint="eastAsia"/>
                <w:b/>
              </w:rPr>
              <w:t>投标响应的实际情况</w:t>
            </w:r>
          </w:p>
        </w:tc>
        <w:tc>
          <w:tcPr>
            <w:tcW w:w="478" w:type="pct"/>
            <w:noWrap w:val="0"/>
            <w:vAlign w:val="top"/>
          </w:tcPr>
          <w:p>
            <w:pPr>
              <w:jc w:val="center"/>
              <w:rPr>
                <w:b/>
              </w:rPr>
            </w:pPr>
            <w:r>
              <w:rPr>
                <w:rFonts w:hint="eastAsia"/>
                <w:b/>
              </w:rPr>
              <w:t>偏离简述</w:t>
            </w:r>
          </w:p>
        </w:tc>
        <w:tc>
          <w:tcPr>
            <w:tcW w:w="405" w:type="pct"/>
            <w:noWrap w:val="0"/>
            <w:vAlign w:val="top"/>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1</w:t>
            </w:r>
          </w:p>
        </w:tc>
        <w:tc>
          <w:tcPr>
            <w:tcW w:w="3140" w:type="pct"/>
            <w:noWrap w:val="0"/>
            <w:vAlign w:val="top"/>
          </w:tcPr>
          <w:p>
            <w:pPr>
              <w:jc w:val="left"/>
              <w:rPr>
                <w:rFonts w:hint="eastAsia"/>
                <w:lang w:eastAsia="zh-CN"/>
              </w:rPr>
            </w:pPr>
            <w:r>
              <w:rPr>
                <w:rFonts w:hint="eastAsia"/>
              </w:rPr>
              <w:t>工期要求</w:t>
            </w:r>
            <w:r>
              <w:rPr>
                <w:rFonts w:hint="eastAsia"/>
                <w:lang w:eastAsia="zh-CN"/>
              </w:rPr>
              <w:t>：</w:t>
            </w:r>
          </w:p>
          <w:p>
            <w:pPr>
              <w:jc w:val="left"/>
              <w:rPr>
                <w:rFonts w:hint="eastAsia" w:eastAsia="宋体"/>
                <w:lang w:eastAsia="zh-CN"/>
              </w:rPr>
            </w:pPr>
            <w:r>
              <w:rPr>
                <w:rFonts w:hint="eastAsia" w:eastAsia="宋体"/>
                <w:lang w:eastAsia="zh-CN"/>
              </w:rPr>
              <w:t>项目服务时限为本工程施工开工日期起，至本工程竣工验收、工程质保期满止。</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2</w:t>
            </w:r>
          </w:p>
        </w:tc>
        <w:tc>
          <w:tcPr>
            <w:tcW w:w="3140" w:type="pct"/>
            <w:noWrap w:val="0"/>
            <w:vAlign w:val="top"/>
          </w:tcPr>
          <w:p>
            <w:pPr>
              <w:jc w:val="left"/>
              <w:rPr>
                <w:rFonts w:hint="eastAsia"/>
                <w:lang w:val="en-US" w:eastAsia="zh-CN"/>
              </w:rPr>
            </w:pPr>
            <w:r>
              <w:rPr>
                <w:rFonts w:hint="eastAsia"/>
                <w:lang w:val="en-US" w:eastAsia="zh-CN"/>
              </w:rPr>
              <w:t>付款方式：</w:t>
            </w:r>
          </w:p>
          <w:p>
            <w:pPr>
              <w:jc w:val="left"/>
              <w:rPr>
                <w:rFonts w:hint="default" w:eastAsia="宋体"/>
                <w:lang w:val="en-US" w:eastAsia="zh-CN"/>
              </w:rPr>
            </w:pPr>
            <w:r>
              <w:rPr>
                <w:rFonts w:hint="default" w:eastAsia="宋体"/>
                <w:lang w:val="en-US" w:eastAsia="zh-CN"/>
              </w:rPr>
              <w:t>（一）签订合同后15个工作日内，拨付监理费总额的20%做为工程预付款，项目完工后验收前支付至监理费总额的75%；结算后支付至监理费总额的95%。</w:t>
            </w:r>
          </w:p>
          <w:p>
            <w:pPr>
              <w:jc w:val="left"/>
              <w:rPr>
                <w:rFonts w:hint="default" w:eastAsia="宋体"/>
                <w:lang w:val="en-US" w:eastAsia="zh-CN"/>
              </w:rPr>
            </w:pPr>
            <w:r>
              <w:rPr>
                <w:rFonts w:hint="default" w:eastAsia="宋体"/>
                <w:lang w:val="en-US" w:eastAsia="zh-CN"/>
              </w:rPr>
              <w:t>（二）质保款：监理费余款5%，在项目完成结算审查及备案手续，且工程竣工验收合格并交付使用质保期满后的15天内结清。</w:t>
            </w:r>
          </w:p>
          <w:p>
            <w:pPr>
              <w:jc w:val="left"/>
              <w:rPr>
                <w:rFonts w:hint="default" w:eastAsia="宋体"/>
                <w:lang w:val="en-US" w:eastAsia="zh-CN"/>
              </w:rPr>
            </w:pPr>
            <w:r>
              <w:rPr>
                <w:rFonts w:hint="default" w:eastAsia="宋体"/>
                <w:lang w:val="en-US" w:eastAsia="zh-CN"/>
              </w:rPr>
              <w:t>（三）招标人不承担因资金不能及时到位给中标人造成的任何损失。</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342" w:type="pct"/>
            <w:noWrap w:val="0"/>
            <w:vAlign w:val="top"/>
          </w:tcPr>
          <w:p>
            <w:pPr>
              <w:jc w:val="center"/>
            </w:pPr>
            <w:r>
              <w:rPr>
                <w:rFonts w:hint="eastAsia"/>
              </w:rPr>
              <w:t>3</w:t>
            </w:r>
          </w:p>
        </w:tc>
        <w:tc>
          <w:tcPr>
            <w:tcW w:w="3140" w:type="pct"/>
            <w:noWrap w:val="0"/>
            <w:vAlign w:val="top"/>
          </w:tcPr>
          <w:p>
            <w:pPr>
              <w:jc w:val="left"/>
              <w:rPr>
                <w:rFonts w:hint="eastAsia"/>
                <w:lang w:val="en-US" w:eastAsia="zh-CN"/>
              </w:rPr>
            </w:pPr>
            <w:r>
              <w:rPr>
                <w:rFonts w:hint="eastAsia"/>
                <w:lang w:val="en-US" w:eastAsia="zh-CN"/>
              </w:rPr>
              <w:t>服务内容：</w:t>
            </w:r>
          </w:p>
          <w:p>
            <w:pPr>
              <w:jc w:val="left"/>
              <w:rPr>
                <w:rFonts w:hint="default" w:eastAsia="宋体"/>
                <w:lang w:val="en-US" w:eastAsia="zh-CN"/>
              </w:rPr>
            </w:pPr>
            <w:r>
              <w:rPr>
                <w:rFonts w:hint="default" w:eastAsia="宋体"/>
                <w:lang w:val="en-US" w:eastAsia="zh-CN"/>
              </w:rPr>
              <w:t>在监理服务期限内对监理范围，按国家、省、市有关规定开展监理工作，贯穿于施工准备阶段、施工阶段、竣工验收、结算审核阶段和工程质量保修阶段，监理主要工作内容为施工过程中的质量、进度、投资控制，安全生产监督管理、合同、信息等方面的协调管理，检查和记录工程质量缺陷，对缺陷原因进行调查分析并确定责任归属，审核修复方案，监督修复过程并验收，初步审核修复费用等</w:t>
            </w:r>
            <w:r>
              <w:rPr>
                <w:rFonts w:hint="eastAsia" w:eastAsia="宋体"/>
                <w:lang w:val="en-US" w:eastAsia="zh-CN"/>
              </w:rPr>
              <w:t>（具体内容见需求书）</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4</w:t>
            </w:r>
          </w:p>
        </w:tc>
        <w:tc>
          <w:tcPr>
            <w:tcW w:w="3140" w:type="pct"/>
            <w:noWrap w:val="0"/>
            <w:vAlign w:val="top"/>
          </w:tcPr>
          <w:p>
            <w:pPr>
              <w:jc w:val="left"/>
              <w:rPr>
                <w:rFonts w:hint="eastAsia"/>
                <w:lang w:eastAsia="zh-CN"/>
              </w:rPr>
            </w:pPr>
            <w:r>
              <w:rPr>
                <w:rFonts w:hint="eastAsia"/>
                <w:lang w:eastAsia="zh-CN"/>
              </w:rPr>
              <w:t>监理人员及管理班要求：</w:t>
            </w:r>
          </w:p>
          <w:p>
            <w:pPr>
              <w:pStyle w:val="2"/>
              <w:rPr>
                <w:rFonts w:hint="default"/>
                <w:lang w:val="en-US" w:eastAsia="zh-CN"/>
              </w:rPr>
            </w:pPr>
            <w:r>
              <w:rPr>
                <w:rFonts w:hint="default"/>
                <w:lang w:val="en-US" w:eastAsia="zh-CN"/>
              </w:rPr>
              <w:t>总监工程师1名（市政公用工程专业注册监理工程师），专监2名(市政公用工程专业)，监理员必须具备国家、省培训的监理员证或助理工程师及以上职称。</w:t>
            </w:r>
          </w:p>
          <w:p>
            <w:pPr>
              <w:pStyle w:val="2"/>
              <w:rPr>
                <w:rFonts w:hint="default"/>
                <w:lang w:val="en-US" w:eastAsia="zh-CN"/>
              </w:rPr>
            </w:pPr>
            <w:r>
              <w:rPr>
                <w:rFonts w:hint="default"/>
                <w:lang w:val="en-US" w:eastAsia="zh-CN"/>
              </w:rPr>
              <w:t>中标人擅自调整监理人员，或监理人员擅自离开监理岗位的，招标人发现1人/次，有权处罚1000元~3000元，并根据招标文件的其他规定进行处理。</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5</w:t>
            </w:r>
          </w:p>
        </w:tc>
        <w:tc>
          <w:tcPr>
            <w:tcW w:w="3140" w:type="pct"/>
            <w:noWrap w:val="0"/>
            <w:vAlign w:val="top"/>
          </w:tcPr>
          <w:p>
            <w:pPr>
              <w:jc w:val="left"/>
              <w:rPr>
                <w:rFonts w:hint="eastAsia"/>
                <w:lang w:eastAsia="zh-CN"/>
              </w:rPr>
            </w:pPr>
            <w:r>
              <w:rPr>
                <w:rFonts w:hint="eastAsia"/>
                <w:lang w:eastAsia="zh-CN"/>
              </w:rPr>
              <w:t>工程监理资料要求：</w:t>
            </w:r>
          </w:p>
          <w:p>
            <w:pPr>
              <w:pStyle w:val="2"/>
              <w:rPr>
                <w:rFonts w:hint="default"/>
                <w:lang w:val="en-US"/>
              </w:rPr>
            </w:pPr>
            <w:r>
              <w:rPr>
                <w:rFonts w:hint="default"/>
                <w:lang w:val="en-US"/>
              </w:rPr>
              <w:t>（一）中标人必须按照有关规定，在监理过程中及时做好相关资料收集、汇总、整理工作。</w:t>
            </w:r>
          </w:p>
          <w:p>
            <w:pPr>
              <w:pStyle w:val="2"/>
              <w:rPr>
                <w:rFonts w:hint="default"/>
                <w:lang w:val="en-US"/>
              </w:rPr>
            </w:pPr>
            <w:r>
              <w:rPr>
                <w:rFonts w:hint="default"/>
                <w:lang w:val="en-US"/>
              </w:rPr>
              <w:t>（二）中标人负责向招标人提供监理过程中质量、进度、投资、合同、监理情况等报告，并有义务向招标人提出合理、经济的详尽方案和建议。</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6</w:t>
            </w:r>
          </w:p>
        </w:tc>
        <w:tc>
          <w:tcPr>
            <w:tcW w:w="3140" w:type="pct"/>
            <w:noWrap w:val="0"/>
            <w:vAlign w:val="top"/>
          </w:tcPr>
          <w:p>
            <w:pPr>
              <w:jc w:val="left"/>
              <w:rPr>
                <w:rFonts w:hint="eastAsia" w:eastAsia="宋体"/>
                <w:lang w:eastAsia="zh-CN"/>
              </w:rPr>
            </w:pPr>
            <w:r>
              <w:rPr>
                <w:rFonts w:hint="eastAsia"/>
                <w:lang w:eastAsia="zh-CN"/>
              </w:rPr>
              <w:t>其他要求：</w:t>
            </w:r>
          </w:p>
          <w:p>
            <w:pPr>
              <w:jc w:val="left"/>
              <w:rPr>
                <w:rFonts w:hint="eastAsia" w:eastAsia="宋体"/>
                <w:lang w:eastAsia="zh-CN"/>
              </w:rPr>
            </w:pPr>
            <w:r>
              <w:rPr>
                <w:rFonts w:hint="eastAsia" w:eastAsia="宋体"/>
                <w:lang w:eastAsia="zh-CN"/>
              </w:rPr>
              <w:t>（一）合同期内如发生人身安全及其它事故，一切责任和经济补偿均由中标人负责。</w:t>
            </w:r>
          </w:p>
          <w:p>
            <w:pPr>
              <w:jc w:val="left"/>
              <w:rPr>
                <w:rFonts w:hint="eastAsia" w:eastAsia="宋体"/>
                <w:lang w:eastAsia="zh-CN"/>
              </w:rPr>
            </w:pPr>
            <w:r>
              <w:rPr>
                <w:rFonts w:hint="eastAsia" w:eastAsia="宋体"/>
                <w:lang w:eastAsia="zh-CN"/>
              </w:rPr>
              <w:t>（二）确定中标人后，签订监理合同，签订前须按有关规定报有关部门审定。</w:t>
            </w:r>
          </w:p>
          <w:p>
            <w:pPr>
              <w:jc w:val="left"/>
              <w:rPr>
                <w:rFonts w:hint="eastAsia" w:eastAsia="宋体"/>
                <w:lang w:eastAsia="zh-CN"/>
              </w:rPr>
            </w:pPr>
            <w:r>
              <w:rPr>
                <w:rFonts w:hint="eastAsia" w:eastAsia="宋体"/>
                <w:lang w:eastAsia="zh-CN"/>
              </w:rPr>
              <w:t xml:space="preserve">（三）中标人在接到招标人通知后，须安排项目负责人于2个工作日内到招标人办公地点领取中标通知书及相关项目资料。 </w:t>
            </w:r>
          </w:p>
          <w:p>
            <w:pPr>
              <w:jc w:val="left"/>
              <w:rPr>
                <w:rFonts w:hint="eastAsia" w:eastAsia="宋体"/>
                <w:lang w:eastAsia="zh-CN"/>
              </w:rPr>
            </w:pPr>
            <w:r>
              <w:rPr>
                <w:rFonts w:hint="eastAsia" w:eastAsia="宋体"/>
                <w:lang w:eastAsia="zh-CN"/>
              </w:rPr>
              <w:t>（四）中标人领取中标通知书后2个工作日内须提供为本项目服务人员名单及所有人员相关证书的复印件（须出示原件）和近三个月的社保明细证明复印件。</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7</w:t>
            </w:r>
          </w:p>
        </w:tc>
        <w:tc>
          <w:tcPr>
            <w:tcW w:w="3140" w:type="pct"/>
            <w:noWrap w:val="0"/>
            <w:vAlign w:val="top"/>
          </w:tcPr>
          <w:p>
            <w:pPr>
              <w:jc w:val="left"/>
              <w:rPr>
                <w:rFonts w:hint="default"/>
                <w:lang w:val="en-US" w:eastAsia="zh-CN"/>
              </w:rPr>
            </w:pPr>
            <w:r>
              <w:rPr>
                <w:rFonts w:hint="default"/>
                <w:lang w:val="en-US" w:eastAsia="zh-CN"/>
              </w:rPr>
              <w:t>取消中标人资格的</w:t>
            </w:r>
            <w:r>
              <w:rPr>
                <w:rFonts w:hint="eastAsia"/>
                <w:lang w:val="en-US" w:eastAsia="zh-CN"/>
              </w:rPr>
              <w:t>情况：</w:t>
            </w:r>
          </w:p>
          <w:p>
            <w:pPr>
              <w:jc w:val="left"/>
              <w:rPr>
                <w:rFonts w:hint="default"/>
                <w:lang w:val="en-US" w:eastAsia="zh-CN"/>
              </w:rPr>
            </w:pPr>
            <w:r>
              <w:rPr>
                <w:rFonts w:hint="default"/>
                <w:lang w:val="en-US" w:eastAsia="zh-CN"/>
              </w:rPr>
              <w:t>中标人有下列情形之一，将直接取消中标人的资格，将中标人列入“黑名单”，并按本需求书从头选取中标人：</w:t>
            </w:r>
          </w:p>
          <w:p>
            <w:pPr>
              <w:jc w:val="left"/>
              <w:rPr>
                <w:rFonts w:hint="default"/>
                <w:lang w:val="en-US" w:eastAsia="zh-CN"/>
              </w:rPr>
            </w:pPr>
            <w:r>
              <w:rPr>
                <w:rFonts w:hint="default"/>
                <w:lang w:val="en-US" w:eastAsia="zh-CN"/>
              </w:rPr>
              <w:t>（一）中标人在接到招标人通知后，项目负责人未于2个工作日内到招标人办公地点领取中标通知书及相关项目资料，或无法在2个工作日内完整提供为本项目服务人员要求的资料</w:t>
            </w:r>
          </w:p>
          <w:p>
            <w:pPr>
              <w:jc w:val="left"/>
              <w:rPr>
                <w:rFonts w:hint="default"/>
                <w:lang w:val="en-US" w:eastAsia="zh-CN"/>
              </w:rPr>
            </w:pPr>
            <w:r>
              <w:rPr>
                <w:rFonts w:hint="default"/>
                <w:lang w:val="en-US" w:eastAsia="zh-CN"/>
              </w:rPr>
              <w:t>（二）由于中标人原因，导致工期滞后，中标人不能按要求工期完成监理工作。</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t>…</w:t>
            </w:r>
          </w:p>
        </w:tc>
        <w:tc>
          <w:tcPr>
            <w:tcW w:w="3140" w:type="pct"/>
            <w:noWrap w:val="0"/>
            <w:vAlign w:val="top"/>
          </w:tcPr>
          <w:p>
            <w:pPr>
              <w:jc w:val="left"/>
            </w:pP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bl>
    <w:p>
      <w:pPr>
        <w:rPr>
          <w:rFonts w:hint="eastAsia" w:ascii="方正小标宋简体" w:eastAsia="方正小标宋简体"/>
          <w:sz w:val="28"/>
          <w:szCs w:val="44"/>
        </w:rPr>
      </w:pPr>
      <w:r>
        <w:rPr>
          <w:rFonts w:hint="eastAsia" w:ascii="方正小标宋简体" w:eastAsia="方正小标宋简体"/>
          <w:sz w:val="28"/>
          <w:szCs w:val="44"/>
        </w:rPr>
        <w:br w:type="page"/>
      </w:r>
    </w:p>
    <w:p>
      <w:pPr>
        <w:pStyle w:val="2"/>
      </w:pPr>
    </w:p>
    <w:tbl>
      <w:tblPr>
        <w:tblStyle w:val="6"/>
        <w:tblW w:w="10570"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53"/>
        <w:gridCol w:w="643"/>
        <w:gridCol w:w="1290"/>
        <w:gridCol w:w="734"/>
        <w:gridCol w:w="6300"/>
        <w:gridCol w:w="95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0" w:hRule="atLeast"/>
          <w:tblHeader/>
        </w:trPr>
        <w:tc>
          <w:tcPr>
            <w:tcW w:w="10570" w:type="dxa"/>
            <w:gridSpan w:val="6"/>
            <w:tcBorders>
              <w:top w:val="nil"/>
              <w:left w:val="nil"/>
              <w:bottom w:val="nil"/>
              <w:right w:val="nil"/>
            </w:tcBorders>
            <w:vAlign w:val="center"/>
          </w:tcPr>
          <w:p>
            <w:pPr>
              <w:spacing w:line="560" w:lineRule="exact"/>
              <w:jc w:val="center"/>
              <w:rPr>
                <w:rFonts w:hint="eastAsia" w:asciiTheme="majorEastAsia" w:hAnsiTheme="majorEastAsia" w:eastAsiaTheme="majorEastAsia" w:cstheme="majorEastAsia"/>
                <w:sz w:val="32"/>
                <w:szCs w:val="44"/>
              </w:rPr>
            </w:pPr>
            <w:r>
              <w:rPr>
                <w:rFonts w:hint="eastAsia" w:asciiTheme="majorEastAsia" w:hAnsiTheme="majorEastAsia" w:eastAsiaTheme="majorEastAsia" w:cstheme="majorEastAsia"/>
                <w:sz w:val="32"/>
                <w:szCs w:val="44"/>
              </w:rPr>
              <w:t>广州南方学院东区田径场改造工程监理服务采购项目评分表</w:t>
            </w:r>
          </w:p>
          <w:p>
            <w:pPr>
              <w:pStyle w:val="11"/>
              <w:spacing w:after="0" w:line="380" w:lineRule="exact"/>
              <w:jc w:val="cente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0" w:hRule="atLeast"/>
          <w:tblHeader/>
        </w:trPr>
        <w:tc>
          <w:tcPr>
            <w:tcW w:w="9620" w:type="dxa"/>
            <w:gridSpan w:val="5"/>
            <w:tcBorders>
              <w:top w:val="nil"/>
              <w:left w:val="nil"/>
              <w:bottom w:val="single" w:color="auto" w:sz="4" w:space="0"/>
              <w:right w:val="nil"/>
            </w:tcBorders>
            <w:vAlign w:val="center"/>
          </w:tcPr>
          <w:p>
            <w:pPr>
              <w:pStyle w:val="11"/>
              <w:spacing w:after="0" w:line="380" w:lineRule="exact"/>
              <w:jc w:val="left"/>
            </w:pPr>
            <w:r>
              <w:rPr>
                <w:rFonts w:hint="eastAsia"/>
              </w:rPr>
              <w:t xml:space="preserve">公司名称: </w:t>
            </w:r>
          </w:p>
        </w:tc>
        <w:tc>
          <w:tcPr>
            <w:tcW w:w="950" w:type="dxa"/>
            <w:tcBorders>
              <w:top w:val="nil"/>
              <w:left w:val="nil"/>
              <w:bottom w:val="single" w:color="auto" w:sz="4" w:space="0"/>
              <w:right w:val="nil"/>
            </w:tcBorders>
          </w:tcPr>
          <w:p>
            <w:pPr>
              <w:pStyle w:val="11"/>
              <w:spacing w:after="0" w:line="380" w:lineRule="exact"/>
              <w:jc w:val="left"/>
              <w:rPr>
                <w:rFonts w:hint="eastAsia"/>
              </w:rPr>
            </w:pPr>
            <w:r>
              <w:rPr>
                <w:rFonts w:hint="eastAsia"/>
                <w:lang w:val="en-US" w:eastAsia="zh-CN"/>
              </w:rPr>
              <w:t>本页得</w:t>
            </w:r>
            <w:r>
              <w:rPr>
                <w:rFonts w:hint="eastAsia"/>
              </w:rPr>
              <w:t xml:space="preserve">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0" w:hRule="atLeast"/>
          <w:tblHeader/>
        </w:trPr>
        <w:tc>
          <w:tcPr>
            <w:tcW w:w="653" w:type="dxa"/>
            <w:tcBorders>
              <w:top w:val="single" w:color="auto" w:sz="4" w:space="0"/>
              <w:left w:val="single" w:color="auto" w:sz="4" w:space="0"/>
              <w:bottom w:val="single" w:color="auto" w:sz="4" w:space="0"/>
              <w:right w:val="single" w:color="auto" w:sz="4" w:space="0"/>
            </w:tcBorders>
            <w:vAlign w:val="center"/>
          </w:tcPr>
          <w:p>
            <w:pPr>
              <w:pStyle w:val="11"/>
              <w:spacing w:after="0" w:line="380" w:lineRule="exact"/>
              <w:jc w:val="center"/>
            </w:pPr>
            <w:r>
              <w:rPr>
                <w:rFonts w:hint="eastAsia"/>
              </w:rPr>
              <w:t>项目</w:t>
            </w:r>
          </w:p>
        </w:tc>
        <w:tc>
          <w:tcPr>
            <w:tcW w:w="643" w:type="dxa"/>
            <w:tcBorders>
              <w:top w:val="single" w:color="auto" w:sz="4" w:space="0"/>
              <w:left w:val="single" w:color="auto" w:sz="4" w:space="0"/>
              <w:bottom w:val="single" w:color="auto" w:sz="4" w:space="0"/>
              <w:right w:val="single" w:color="auto" w:sz="4" w:space="0"/>
            </w:tcBorders>
          </w:tcPr>
          <w:p>
            <w:pPr>
              <w:pStyle w:val="11"/>
              <w:spacing w:after="0" w:line="380" w:lineRule="exact"/>
              <w:jc w:val="center"/>
            </w:pPr>
            <w:r>
              <w:t>序号</w:t>
            </w:r>
          </w:p>
        </w:tc>
        <w:tc>
          <w:tcPr>
            <w:tcW w:w="1290" w:type="dxa"/>
            <w:tcBorders>
              <w:top w:val="single" w:color="auto" w:sz="4" w:space="0"/>
              <w:left w:val="single" w:color="auto" w:sz="4" w:space="0"/>
              <w:bottom w:val="single" w:color="auto" w:sz="4" w:space="0"/>
              <w:right w:val="single" w:color="auto" w:sz="4" w:space="0"/>
            </w:tcBorders>
            <w:vAlign w:val="center"/>
          </w:tcPr>
          <w:p>
            <w:pPr>
              <w:pStyle w:val="11"/>
              <w:spacing w:after="0" w:line="380" w:lineRule="exact"/>
              <w:jc w:val="center"/>
            </w:pPr>
            <w:r>
              <w:t xml:space="preserve"> 评分因素</w:t>
            </w:r>
          </w:p>
        </w:tc>
        <w:tc>
          <w:tcPr>
            <w:tcW w:w="734" w:type="dxa"/>
            <w:tcBorders>
              <w:top w:val="single" w:color="auto" w:sz="4" w:space="0"/>
              <w:left w:val="single" w:color="auto" w:sz="4" w:space="0"/>
              <w:bottom w:val="single" w:color="auto" w:sz="4" w:space="0"/>
              <w:right w:val="single" w:color="auto" w:sz="4" w:space="0"/>
            </w:tcBorders>
            <w:vAlign w:val="center"/>
          </w:tcPr>
          <w:p>
            <w:pPr>
              <w:pStyle w:val="11"/>
              <w:spacing w:after="0" w:line="380" w:lineRule="exact"/>
              <w:jc w:val="center"/>
            </w:pPr>
            <w:r>
              <w:t>分值</w:t>
            </w:r>
          </w:p>
        </w:tc>
        <w:tc>
          <w:tcPr>
            <w:tcW w:w="6300" w:type="dxa"/>
            <w:tcBorders>
              <w:top w:val="single" w:color="auto" w:sz="4" w:space="0"/>
              <w:left w:val="single" w:color="auto" w:sz="4" w:space="0"/>
              <w:bottom w:val="single" w:color="auto" w:sz="4" w:space="0"/>
              <w:right w:val="single" w:color="auto" w:sz="4" w:space="0"/>
            </w:tcBorders>
            <w:vAlign w:val="center"/>
          </w:tcPr>
          <w:p>
            <w:pPr>
              <w:pStyle w:val="11"/>
              <w:spacing w:after="0" w:line="380" w:lineRule="exact"/>
              <w:jc w:val="center"/>
            </w:pPr>
            <w:r>
              <w:t xml:space="preserve">评审细则 </w:t>
            </w:r>
          </w:p>
        </w:tc>
        <w:tc>
          <w:tcPr>
            <w:tcW w:w="950" w:type="dxa"/>
            <w:tcBorders>
              <w:top w:val="single" w:color="auto" w:sz="4" w:space="0"/>
              <w:left w:val="single" w:color="auto" w:sz="4" w:space="0"/>
              <w:bottom w:val="single" w:color="auto" w:sz="4" w:space="0"/>
              <w:right w:val="single" w:color="auto" w:sz="4" w:space="0"/>
            </w:tcBorders>
          </w:tcPr>
          <w:p>
            <w:pPr>
              <w:pStyle w:val="11"/>
              <w:spacing w:after="0" w:line="380" w:lineRule="exact"/>
              <w:jc w:val="center"/>
            </w:pPr>
            <w:r>
              <w:rPr>
                <w:rFonts w:hint="eastAsia"/>
              </w:rPr>
              <w:t>评分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683" w:hRule="atLeast"/>
        </w:trPr>
        <w:tc>
          <w:tcPr>
            <w:tcW w:w="653" w:type="dxa"/>
            <w:vMerge w:val="restart"/>
            <w:tcBorders>
              <w:top w:val="single" w:color="auto" w:sz="4" w:space="0"/>
              <w:left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商务分</w:t>
            </w:r>
          </w:p>
        </w:tc>
        <w:tc>
          <w:tcPr>
            <w:tcW w:w="64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1</w:t>
            </w:r>
          </w:p>
        </w:tc>
        <w:tc>
          <w:tcPr>
            <w:tcW w:w="129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企业行业资质</w:t>
            </w:r>
          </w:p>
        </w:tc>
        <w:tc>
          <w:tcPr>
            <w:tcW w:w="73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4</w:t>
            </w:r>
          </w:p>
        </w:tc>
        <w:tc>
          <w:tcPr>
            <w:tcW w:w="6300" w:type="dxa"/>
            <w:tcBorders>
              <w:top w:val="single" w:color="auto" w:sz="4" w:space="0"/>
              <w:left w:val="single" w:color="auto" w:sz="4"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具有国家住建部或住建厅核发的《工程监理资质证书》专业为市政公用工程资质甲级，得4分；</w:t>
            </w:r>
          </w:p>
          <w:p>
            <w:pPr>
              <w:bidi w:val="0"/>
              <w:rPr>
                <w:rFonts w:hint="eastAsia"/>
                <w:lang w:val="en-US" w:eastAsia="zh-CN"/>
              </w:rPr>
            </w:pPr>
            <w:r>
              <w:rPr>
                <w:rFonts w:hint="eastAsia"/>
                <w:lang w:val="en-US" w:eastAsia="zh-CN"/>
              </w:rPr>
              <w:t>无市政公用工程监理资质甲级证书，作废标处理。</w:t>
            </w:r>
          </w:p>
          <w:p>
            <w:pPr>
              <w:bidi w:val="0"/>
              <w:rPr>
                <w:rFonts w:hint="eastAsia"/>
                <w:lang w:val="en-US" w:eastAsia="zh-CN"/>
              </w:rPr>
            </w:pPr>
            <w:r>
              <w:rPr>
                <w:rFonts w:hint="eastAsia"/>
                <w:lang w:val="en-US" w:eastAsia="zh-CN"/>
              </w:rPr>
              <w:t>（须提供相关证书复印件并加盖投标人公章，证书必须在有效期否则不得分；原件备查。）</w:t>
            </w:r>
          </w:p>
        </w:tc>
        <w:tc>
          <w:tcPr>
            <w:tcW w:w="950" w:type="dxa"/>
            <w:tcBorders>
              <w:top w:val="single" w:color="auto" w:sz="4" w:space="0"/>
              <w:left w:val="single" w:color="auto" w:sz="4" w:space="0"/>
              <w:bottom w:val="outset" w:color="auto" w:sz="6" w:space="0"/>
              <w:right w:val="outset" w:color="auto" w:sz="6" w:space="0"/>
            </w:tcBorders>
            <w:vAlign w:val="center"/>
          </w:tcPr>
          <w:p>
            <w:pPr>
              <w:bidi w:val="0"/>
              <w:rPr>
                <w:rFonts w:hint="eastAsia"/>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931" w:hRule="atLeast"/>
        </w:trPr>
        <w:tc>
          <w:tcPr>
            <w:tcW w:w="653" w:type="dxa"/>
            <w:vMerge w:val="continue"/>
            <w:tcBorders>
              <w:left w:val="single" w:color="auto" w:sz="4" w:space="0"/>
              <w:right w:val="single" w:color="auto" w:sz="4" w:space="0"/>
            </w:tcBorders>
            <w:vAlign w:val="center"/>
          </w:tcPr>
          <w:p>
            <w:pPr>
              <w:bidi w:val="0"/>
              <w:jc w:val="center"/>
              <w:rPr>
                <w:rFonts w:hint="eastAsia"/>
                <w:lang w:val="en-US" w:eastAsia="zh-CN"/>
              </w:rPr>
            </w:pPr>
          </w:p>
        </w:tc>
        <w:tc>
          <w:tcPr>
            <w:tcW w:w="64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en-US" w:eastAsia="zh-CN"/>
              </w:rPr>
              <w:t>2</w:t>
            </w:r>
          </w:p>
        </w:tc>
        <w:tc>
          <w:tcPr>
            <w:tcW w:w="1290"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zh-CN" w:eastAsia="zh-CN"/>
              </w:rPr>
              <w:t>企业</w:t>
            </w:r>
            <w:r>
              <w:rPr>
                <w:rFonts w:hint="eastAsia"/>
                <w:lang w:val="en-US" w:eastAsia="zh-CN"/>
              </w:rPr>
              <w:t>管理资质</w:t>
            </w:r>
          </w:p>
        </w:tc>
        <w:tc>
          <w:tcPr>
            <w:tcW w:w="73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en-US" w:eastAsia="zh-CN"/>
              </w:rPr>
              <w:t>4</w:t>
            </w:r>
          </w:p>
        </w:tc>
        <w:tc>
          <w:tcPr>
            <w:tcW w:w="6300" w:type="dxa"/>
            <w:tcBorders>
              <w:top w:val="single" w:color="auto" w:sz="4" w:space="0"/>
              <w:left w:val="single" w:color="auto" w:sz="4"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具有质量管理体系认证证书、环境管理体系认证证书、职业健康安全管理体系认证证书。三项具备得4分，三项证书不全作废标处理。</w:t>
            </w:r>
          </w:p>
          <w:p>
            <w:pPr>
              <w:pStyle w:val="2"/>
              <w:rPr>
                <w:rFonts w:hint="eastAsia"/>
                <w:lang w:val="en-US" w:eastAsia="zh-CN"/>
              </w:rPr>
            </w:pPr>
            <w:r>
              <w:rPr>
                <w:rFonts w:hint="eastAsia"/>
                <w:lang w:val="en-US" w:eastAsia="zh-CN"/>
              </w:rPr>
              <w:t>（须提供相关证书复印件并加盖投标人公章，证书必须在有效期否则不得分；原件备查。）</w:t>
            </w:r>
          </w:p>
        </w:tc>
        <w:tc>
          <w:tcPr>
            <w:tcW w:w="950" w:type="dxa"/>
            <w:tcBorders>
              <w:top w:val="single" w:color="auto" w:sz="4" w:space="0"/>
              <w:left w:val="single" w:color="auto" w:sz="4" w:space="0"/>
              <w:bottom w:val="single" w:color="auto" w:sz="4" w:space="0"/>
              <w:right w:val="outset" w:color="auto" w:sz="6" w:space="0"/>
            </w:tcBorders>
            <w:vAlign w:val="center"/>
          </w:tcPr>
          <w:p>
            <w:pPr>
              <w:bidi w:val="0"/>
              <w:rPr>
                <w:rFonts w:hint="eastAsia"/>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75" w:hRule="atLeast"/>
        </w:trPr>
        <w:tc>
          <w:tcPr>
            <w:tcW w:w="653" w:type="dxa"/>
            <w:vMerge w:val="continue"/>
            <w:tcBorders>
              <w:left w:val="single" w:color="auto" w:sz="4" w:space="0"/>
              <w:right w:val="single" w:color="auto" w:sz="4" w:space="0"/>
            </w:tcBorders>
            <w:vAlign w:val="center"/>
          </w:tcPr>
          <w:p>
            <w:pPr>
              <w:bidi w:val="0"/>
              <w:jc w:val="center"/>
              <w:rPr>
                <w:rFonts w:hint="eastAsia"/>
                <w:lang w:val="en-US" w:eastAsia="zh-CN"/>
              </w:rPr>
            </w:pPr>
          </w:p>
        </w:tc>
        <w:tc>
          <w:tcPr>
            <w:tcW w:w="64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3</w:t>
            </w:r>
          </w:p>
        </w:tc>
        <w:tc>
          <w:tcPr>
            <w:tcW w:w="129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企业信用资质</w:t>
            </w:r>
          </w:p>
        </w:tc>
        <w:tc>
          <w:tcPr>
            <w:tcW w:w="73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4</w:t>
            </w:r>
          </w:p>
        </w:tc>
        <w:tc>
          <w:tcPr>
            <w:tcW w:w="6300" w:type="dxa"/>
            <w:tcBorders>
              <w:top w:val="single" w:color="auto" w:sz="4" w:space="0"/>
              <w:left w:val="single" w:color="auto" w:sz="4"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投标人近三年内被工商行政管理局评为省级守合同重信用企业称号得4分,不提供不得分；</w:t>
            </w:r>
          </w:p>
          <w:p>
            <w:pPr>
              <w:bidi w:val="0"/>
              <w:rPr>
                <w:rFonts w:hint="eastAsia"/>
                <w:lang w:val="en-US" w:eastAsia="zh-CN"/>
              </w:rPr>
            </w:pPr>
            <w:r>
              <w:rPr>
                <w:rFonts w:hint="eastAsia"/>
                <w:lang w:val="en-US" w:eastAsia="zh-CN"/>
              </w:rPr>
              <w:t>（须提供相关证书复印件并加盖投标人公章，证书必须在有效期否则不得分；原件核查。）</w:t>
            </w:r>
          </w:p>
          <w:p>
            <w:pPr>
              <w:bidi w:val="0"/>
              <w:rPr>
                <w:rFonts w:hint="eastAsia"/>
                <w:lang w:val="en-US" w:eastAsia="zh-CN"/>
              </w:rPr>
            </w:pPr>
          </w:p>
        </w:tc>
        <w:tc>
          <w:tcPr>
            <w:tcW w:w="950" w:type="dxa"/>
            <w:tcBorders>
              <w:top w:val="single" w:color="auto" w:sz="4" w:space="0"/>
              <w:left w:val="single" w:color="auto" w:sz="4" w:space="0"/>
              <w:bottom w:val="single" w:color="auto" w:sz="4" w:space="0"/>
              <w:right w:val="outset" w:color="auto" w:sz="6" w:space="0"/>
            </w:tcBorders>
            <w:vAlign w:val="center"/>
          </w:tcPr>
          <w:p>
            <w:pPr>
              <w:bidi w:val="0"/>
              <w:rPr>
                <w:rFonts w:hint="eastAsia"/>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95" w:hRule="atLeast"/>
        </w:trPr>
        <w:tc>
          <w:tcPr>
            <w:tcW w:w="653" w:type="dxa"/>
            <w:vMerge w:val="continue"/>
            <w:tcBorders>
              <w:left w:val="single" w:color="auto" w:sz="4" w:space="0"/>
              <w:right w:val="single" w:color="auto" w:sz="4" w:space="0"/>
            </w:tcBorders>
            <w:vAlign w:val="center"/>
          </w:tcPr>
          <w:p>
            <w:pPr>
              <w:bidi w:val="0"/>
              <w:jc w:val="center"/>
              <w:rPr>
                <w:rFonts w:hint="eastAsia"/>
                <w:lang w:val="en-US" w:eastAsia="zh-CN"/>
              </w:rPr>
            </w:pPr>
          </w:p>
        </w:tc>
        <w:tc>
          <w:tcPr>
            <w:tcW w:w="64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4</w:t>
            </w:r>
          </w:p>
        </w:tc>
        <w:tc>
          <w:tcPr>
            <w:tcW w:w="129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项目业绩</w:t>
            </w:r>
          </w:p>
        </w:tc>
        <w:tc>
          <w:tcPr>
            <w:tcW w:w="73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en-US" w:eastAsia="zh-CN"/>
              </w:rPr>
              <w:t>13</w:t>
            </w:r>
          </w:p>
        </w:tc>
        <w:tc>
          <w:tcPr>
            <w:tcW w:w="6300" w:type="dxa"/>
            <w:tcBorders>
              <w:top w:val="single" w:color="auto" w:sz="4" w:space="0"/>
              <w:left w:val="single" w:color="auto" w:sz="4"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提供5个2017年至今项目业绩，每提供1项有效业绩得2分，获得市级或以上奖项的项目按每项3分计算，最高得13分。（提供项目业绩列表（限5个项目），提供项目合同或中标通知书复印件（获奖项目需提供证书复印件），原件备查，不提供的不得分。）</w:t>
            </w:r>
          </w:p>
        </w:tc>
        <w:tc>
          <w:tcPr>
            <w:tcW w:w="950" w:type="dxa"/>
            <w:tcBorders>
              <w:top w:val="single" w:color="auto" w:sz="4" w:space="0"/>
              <w:left w:val="single" w:color="auto" w:sz="4" w:space="0"/>
              <w:bottom w:val="single" w:color="auto" w:sz="4" w:space="0"/>
              <w:right w:val="outset" w:color="auto" w:sz="6" w:space="0"/>
            </w:tcBorders>
            <w:vAlign w:val="center"/>
          </w:tcPr>
          <w:p>
            <w:pPr>
              <w:bidi w:val="0"/>
              <w:rPr>
                <w:rFonts w:hint="eastAsia"/>
                <w:lang w:val="en-US" w:eastAsia="zh-CN"/>
              </w:rPr>
            </w:pPr>
          </w:p>
          <w:p>
            <w:pPr>
              <w:bidi w:val="0"/>
              <w:rPr>
                <w:rFonts w:hint="eastAsia"/>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35" w:hRule="atLeast"/>
        </w:trPr>
        <w:tc>
          <w:tcPr>
            <w:tcW w:w="653" w:type="dxa"/>
            <w:vMerge w:val="continue"/>
            <w:tcBorders>
              <w:left w:val="single" w:color="auto" w:sz="4" w:space="0"/>
              <w:bottom w:val="single" w:color="auto" w:sz="4" w:space="0"/>
              <w:right w:val="single" w:color="auto" w:sz="4" w:space="0"/>
            </w:tcBorders>
            <w:vAlign w:val="center"/>
          </w:tcPr>
          <w:p>
            <w:pPr>
              <w:bidi w:val="0"/>
              <w:jc w:val="center"/>
              <w:rPr>
                <w:rFonts w:hint="eastAsia"/>
                <w:lang w:val="en-US" w:eastAsia="zh-CN"/>
              </w:rPr>
            </w:pPr>
          </w:p>
        </w:tc>
        <w:tc>
          <w:tcPr>
            <w:tcW w:w="64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商务总分</w:t>
            </w:r>
          </w:p>
        </w:tc>
        <w:tc>
          <w:tcPr>
            <w:tcW w:w="73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en-US" w:eastAsia="zh-CN"/>
              </w:rPr>
              <w:t>25</w:t>
            </w:r>
          </w:p>
        </w:tc>
        <w:tc>
          <w:tcPr>
            <w:tcW w:w="6300" w:type="dxa"/>
            <w:tcBorders>
              <w:top w:val="single" w:color="auto" w:sz="4" w:space="0"/>
              <w:left w:val="single" w:color="auto" w:sz="4" w:space="0"/>
              <w:bottom w:val="single" w:color="auto" w:sz="4" w:space="0"/>
              <w:right w:val="single" w:color="auto" w:sz="4" w:space="0"/>
            </w:tcBorders>
            <w:vAlign w:val="center"/>
          </w:tcPr>
          <w:p>
            <w:pPr>
              <w:bidi w:val="0"/>
              <w:rPr>
                <w:rFonts w:hint="eastAsia"/>
                <w:lang w:val="en-US" w:eastAsia="zh-CN"/>
              </w:rPr>
            </w:pPr>
          </w:p>
        </w:tc>
        <w:tc>
          <w:tcPr>
            <w:tcW w:w="950" w:type="dxa"/>
            <w:tcBorders>
              <w:top w:val="single" w:color="auto" w:sz="4" w:space="0"/>
              <w:left w:val="single" w:color="auto" w:sz="4" w:space="0"/>
              <w:bottom w:val="single" w:color="auto" w:sz="4" w:space="0"/>
              <w:right w:val="outset" w:color="auto" w:sz="6" w:space="0"/>
            </w:tcBorders>
            <w:vAlign w:val="center"/>
          </w:tcPr>
          <w:p>
            <w:pPr>
              <w:bidi w:val="0"/>
              <w:rPr>
                <w:rFonts w:hint="eastAsia"/>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02" w:hRule="atLeast"/>
        </w:trPr>
        <w:tc>
          <w:tcPr>
            <w:tcW w:w="653" w:type="dxa"/>
            <w:vMerge w:val="restart"/>
            <w:tcBorders>
              <w:top w:val="single" w:color="auto" w:sz="4" w:space="0"/>
              <w:left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技术分</w:t>
            </w:r>
          </w:p>
        </w:tc>
        <w:tc>
          <w:tcPr>
            <w:tcW w:w="64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1</w:t>
            </w:r>
          </w:p>
        </w:tc>
        <w:tc>
          <w:tcPr>
            <w:tcW w:w="129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总监工程师</w:t>
            </w:r>
          </w:p>
        </w:tc>
        <w:tc>
          <w:tcPr>
            <w:tcW w:w="73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8</w:t>
            </w:r>
          </w:p>
        </w:tc>
        <w:tc>
          <w:tcPr>
            <w:tcW w:w="6300" w:type="dxa"/>
            <w:tcBorders>
              <w:top w:val="single" w:color="auto" w:sz="4" w:space="0"/>
              <w:left w:val="single" w:color="auto" w:sz="4"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（1）项目管理负责人具有市政公用工程专业注册监理工程师得5分，无资格证书，作废标处理；</w:t>
            </w:r>
          </w:p>
          <w:p>
            <w:pPr>
              <w:bidi w:val="0"/>
              <w:rPr>
                <w:rFonts w:hint="eastAsia"/>
                <w:lang w:val="en-US" w:eastAsia="zh-CN"/>
              </w:rPr>
            </w:pPr>
            <w:r>
              <w:rPr>
                <w:rFonts w:hint="eastAsia"/>
                <w:lang w:val="en-US" w:eastAsia="zh-CN"/>
              </w:rPr>
              <w:t>（2）项目负责人具有</w:t>
            </w:r>
            <w:r>
              <w:rPr>
                <w:rFonts w:hint="eastAsia" w:ascii="Arial" w:hAnsi="Arial" w:eastAsia="宋体" w:cs="Arial"/>
                <w:i w:val="0"/>
                <w:iCs w:val="0"/>
                <w:caps w:val="0"/>
                <w:color w:val="333333"/>
                <w:spacing w:val="0"/>
                <w:sz w:val="21"/>
                <w:szCs w:val="21"/>
                <w:shd w:val="clear" w:fill="FFFFFF"/>
              </w:rPr>
              <w:t>市政工程</w:t>
            </w:r>
            <w:r>
              <w:rPr>
                <w:rFonts w:hint="eastAsia" w:ascii="Arial" w:hAnsi="Arial" w:eastAsia="宋体" w:cs="Arial"/>
                <w:i w:val="0"/>
                <w:iCs w:val="0"/>
                <w:caps w:val="0"/>
                <w:color w:val="333333"/>
                <w:spacing w:val="0"/>
                <w:sz w:val="21"/>
                <w:szCs w:val="21"/>
                <w:shd w:val="clear" w:fill="FFFFFF"/>
                <w:lang w:val="en-US" w:eastAsia="zh-CN"/>
              </w:rPr>
              <w:t>类相关专业</w:t>
            </w:r>
            <w:r>
              <w:rPr>
                <w:rFonts w:hint="eastAsia"/>
                <w:lang w:val="en-US" w:eastAsia="zh-CN"/>
              </w:rPr>
              <w:t>高级工程师职称以上的，得3分；</w:t>
            </w:r>
          </w:p>
          <w:p>
            <w:pPr>
              <w:bidi w:val="0"/>
              <w:rPr>
                <w:rFonts w:hint="eastAsia"/>
                <w:lang w:val="en-US" w:eastAsia="zh-CN"/>
              </w:rPr>
            </w:pPr>
            <w:r>
              <w:rPr>
                <w:rFonts w:hint="eastAsia"/>
                <w:lang w:val="en-US" w:eastAsia="zh-CN"/>
              </w:rPr>
              <w:t>（3）项目负责人具有</w:t>
            </w:r>
            <w:r>
              <w:rPr>
                <w:rFonts w:hint="eastAsia" w:ascii="Arial" w:hAnsi="Arial" w:eastAsia="宋体" w:cs="Arial"/>
                <w:i w:val="0"/>
                <w:iCs w:val="0"/>
                <w:caps w:val="0"/>
                <w:color w:val="333333"/>
                <w:spacing w:val="0"/>
                <w:sz w:val="21"/>
                <w:szCs w:val="21"/>
                <w:shd w:val="clear" w:fill="FFFFFF"/>
              </w:rPr>
              <w:t>市政工程</w:t>
            </w:r>
            <w:r>
              <w:rPr>
                <w:rFonts w:hint="eastAsia" w:ascii="Arial" w:hAnsi="Arial" w:eastAsia="宋体" w:cs="Arial"/>
                <w:i w:val="0"/>
                <w:iCs w:val="0"/>
                <w:caps w:val="0"/>
                <w:color w:val="333333"/>
                <w:spacing w:val="0"/>
                <w:sz w:val="21"/>
                <w:szCs w:val="21"/>
                <w:shd w:val="clear" w:fill="FFFFFF"/>
                <w:lang w:val="en-US" w:eastAsia="zh-CN"/>
              </w:rPr>
              <w:t>类相关专业</w:t>
            </w:r>
            <w:bookmarkStart w:id="0" w:name="_GoBack"/>
            <w:bookmarkEnd w:id="0"/>
            <w:r>
              <w:rPr>
                <w:rFonts w:hint="eastAsia"/>
                <w:lang w:val="en-US" w:eastAsia="zh-CN"/>
              </w:rPr>
              <w:t>中级工程师职称的，得2分。</w:t>
            </w:r>
          </w:p>
          <w:p>
            <w:pPr>
              <w:bidi w:val="0"/>
              <w:rPr>
                <w:rFonts w:hint="eastAsia"/>
                <w:lang w:val="en-US" w:eastAsia="zh-CN"/>
              </w:rPr>
            </w:pPr>
            <w:r>
              <w:rPr>
                <w:rFonts w:hint="eastAsia"/>
                <w:lang w:val="en-US" w:eastAsia="zh-CN"/>
              </w:rPr>
              <w:t>需提供持证人的证书证明文件及由社保局出具的开标当月之前连续六个月社保缴纳证明文件，无或未提供社保缴纳证明文件不得分。</w:t>
            </w:r>
          </w:p>
        </w:tc>
        <w:tc>
          <w:tcPr>
            <w:tcW w:w="950" w:type="dxa"/>
            <w:tcBorders>
              <w:top w:val="single" w:color="auto" w:sz="4" w:space="0"/>
              <w:left w:val="single" w:color="auto" w:sz="4" w:space="0"/>
              <w:bottom w:val="single" w:color="auto" w:sz="4" w:space="0"/>
              <w:right w:val="outset" w:color="auto" w:sz="6" w:space="0"/>
            </w:tcBorders>
            <w:vAlign w:val="center"/>
          </w:tcPr>
          <w:p>
            <w:pPr>
              <w:bidi w:val="0"/>
              <w:rPr>
                <w:rFonts w:hint="eastAsia"/>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50" w:hRule="atLeast"/>
        </w:trPr>
        <w:tc>
          <w:tcPr>
            <w:tcW w:w="653" w:type="dxa"/>
            <w:vMerge w:val="continue"/>
            <w:tcBorders>
              <w:left w:val="single" w:color="auto" w:sz="4" w:space="0"/>
              <w:right w:val="single" w:color="auto" w:sz="4" w:space="0"/>
            </w:tcBorders>
            <w:vAlign w:val="center"/>
          </w:tcPr>
          <w:p>
            <w:pPr>
              <w:bidi w:val="0"/>
              <w:jc w:val="center"/>
              <w:rPr>
                <w:rFonts w:hint="eastAsia"/>
                <w:lang w:val="en-US" w:eastAsia="zh-CN"/>
              </w:rPr>
            </w:pPr>
          </w:p>
        </w:tc>
        <w:tc>
          <w:tcPr>
            <w:tcW w:w="64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2</w:t>
            </w:r>
          </w:p>
        </w:tc>
        <w:tc>
          <w:tcPr>
            <w:tcW w:w="1290"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en-US" w:eastAsia="zh-CN"/>
              </w:rPr>
              <w:t>监理员2名</w:t>
            </w:r>
          </w:p>
        </w:tc>
        <w:tc>
          <w:tcPr>
            <w:tcW w:w="73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en-US" w:eastAsia="zh-CN"/>
              </w:rPr>
              <w:t>10</w:t>
            </w:r>
          </w:p>
        </w:tc>
        <w:tc>
          <w:tcPr>
            <w:tcW w:w="6300" w:type="dxa"/>
            <w:tcBorders>
              <w:top w:val="single" w:color="auto" w:sz="4" w:space="0"/>
              <w:left w:val="single" w:color="auto" w:sz="4" w:space="0"/>
              <w:bottom w:val="single" w:color="auto" w:sz="4" w:space="0"/>
              <w:right w:val="single" w:color="auto" w:sz="4" w:space="0"/>
            </w:tcBorders>
            <w:vAlign w:val="top"/>
          </w:tcPr>
          <w:p>
            <w:pPr>
              <w:bidi w:val="0"/>
              <w:rPr>
                <w:rFonts w:hint="eastAsia"/>
                <w:lang w:val="en-US" w:eastAsia="zh-CN"/>
              </w:rPr>
            </w:pPr>
            <w:r>
              <w:rPr>
                <w:rFonts w:hint="eastAsia"/>
                <w:lang w:val="en-US" w:eastAsia="zh-CN"/>
              </w:rPr>
              <w:t>（1）提供2名拟投入的监理员证件，无资格证书，作废标处理；</w:t>
            </w:r>
          </w:p>
          <w:p>
            <w:pPr>
              <w:bidi w:val="0"/>
              <w:rPr>
                <w:rFonts w:hint="eastAsia"/>
                <w:lang w:val="en-US" w:eastAsia="zh-CN"/>
              </w:rPr>
            </w:pPr>
            <w:r>
              <w:rPr>
                <w:rFonts w:hint="eastAsia"/>
                <w:lang w:val="en-US" w:eastAsia="zh-CN"/>
              </w:rPr>
              <w:t>（2）监理员具有市政公用工程专业监理员资格证的，每1名得3分；</w:t>
            </w:r>
          </w:p>
          <w:p>
            <w:pPr>
              <w:bidi w:val="0"/>
              <w:rPr>
                <w:rFonts w:hint="eastAsia"/>
                <w:lang w:val="en-US" w:eastAsia="zh-CN"/>
              </w:rPr>
            </w:pPr>
            <w:r>
              <w:rPr>
                <w:rFonts w:hint="eastAsia"/>
                <w:lang w:val="en-US" w:eastAsia="zh-CN"/>
              </w:rPr>
              <w:t>（3）监理员具有市政公用工程专业中级工程师职称的，每1名得2分。</w:t>
            </w:r>
          </w:p>
          <w:p>
            <w:pPr>
              <w:bidi w:val="0"/>
              <w:rPr>
                <w:rFonts w:hint="eastAsia"/>
                <w:lang w:val="en-US" w:eastAsia="zh-CN"/>
              </w:rPr>
            </w:pPr>
            <w:r>
              <w:rPr>
                <w:rFonts w:hint="eastAsia"/>
                <w:lang w:val="en-US" w:eastAsia="zh-CN"/>
              </w:rPr>
              <w:t>需提供持证人的证书证明文件及由社保局出具的开标当月之前连续六个月社保缴纳证明文件，无或未提供社保缴纳证明文件不得分。</w:t>
            </w:r>
          </w:p>
        </w:tc>
        <w:tc>
          <w:tcPr>
            <w:tcW w:w="950" w:type="dxa"/>
            <w:tcBorders>
              <w:top w:val="single" w:color="auto" w:sz="4" w:space="0"/>
              <w:left w:val="single" w:color="auto" w:sz="4" w:space="0"/>
              <w:bottom w:val="single" w:color="auto" w:sz="4" w:space="0"/>
              <w:right w:val="outset" w:color="auto" w:sz="6" w:space="0"/>
            </w:tcBorders>
            <w:vAlign w:val="center"/>
          </w:tcPr>
          <w:p>
            <w:pPr>
              <w:bidi w:val="0"/>
              <w:rPr>
                <w:rFonts w:hint="eastAsia"/>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30" w:hRule="atLeast"/>
        </w:trPr>
        <w:tc>
          <w:tcPr>
            <w:tcW w:w="653" w:type="dxa"/>
            <w:vMerge w:val="continue"/>
            <w:tcBorders>
              <w:left w:val="single" w:color="auto" w:sz="4" w:space="0"/>
              <w:right w:val="single" w:color="auto" w:sz="4" w:space="0"/>
            </w:tcBorders>
            <w:vAlign w:val="center"/>
          </w:tcPr>
          <w:p>
            <w:pPr>
              <w:bidi w:val="0"/>
              <w:jc w:val="center"/>
              <w:rPr>
                <w:rFonts w:hint="eastAsia"/>
                <w:lang w:val="en-US" w:eastAsia="zh-CN"/>
              </w:rPr>
            </w:pPr>
          </w:p>
        </w:tc>
        <w:tc>
          <w:tcPr>
            <w:tcW w:w="643" w:type="dxa"/>
            <w:tcBorders>
              <w:top w:val="single" w:color="auto" w:sz="4" w:space="0"/>
              <w:left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3</w:t>
            </w:r>
          </w:p>
        </w:tc>
        <w:tc>
          <w:tcPr>
            <w:tcW w:w="1290" w:type="dxa"/>
            <w:tcBorders>
              <w:top w:val="single" w:color="auto" w:sz="4" w:space="0"/>
              <w:left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其它管理人员</w:t>
            </w:r>
          </w:p>
        </w:tc>
        <w:tc>
          <w:tcPr>
            <w:tcW w:w="734" w:type="dxa"/>
            <w:tcBorders>
              <w:top w:val="single" w:color="auto" w:sz="4" w:space="0"/>
              <w:left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7</w:t>
            </w:r>
          </w:p>
        </w:tc>
        <w:tc>
          <w:tcPr>
            <w:tcW w:w="6300" w:type="dxa"/>
            <w:tcBorders>
              <w:top w:val="single" w:color="auto" w:sz="4" w:space="0"/>
              <w:left w:val="single" w:color="auto" w:sz="4" w:space="0"/>
              <w:right w:val="single" w:color="auto" w:sz="4" w:space="0"/>
            </w:tcBorders>
            <w:vAlign w:val="top"/>
          </w:tcPr>
          <w:p>
            <w:pPr>
              <w:bidi w:val="0"/>
              <w:rPr>
                <w:rFonts w:hint="eastAsia"/>
                <w:lang w:val="en-US" w:eastAsia="zh-CN"/>
              </w:rPr>
            </w:pPr>
            <w:r>
              <w:rPr>
                <w:rFonts w:hint="eastAsia"/>
                <w:lang w:val="en-US" w:eastAsia="zh-CN"/>
              </w:rPr>
              <w:t>除总监工程师、监理员外，其他拟用于本项目的人员配置完善合理，其中：</w:t>
            </w:r>
          </w:p>
          <w:p>
            <w:pPr>
              <w:bidi w:val="0"/>
              <w:rPr>
                <w:rFonts w:hint="eastAsia"/>
                <w:lang w:val="en-US" w:eastAsia="zh-CN"/>
              </w:rPr>
            </w:pPr>
            <w:r>
              <w:rPr>
                <w:rFonts w:hint="eastAsia"/>
                <w:lang w:val="en-US" w:eastAsia="zh-CN"/>
              </w:rPr>
              <w:t>高级工程师职称以上的每投入1人员得3分，中级工程师职称人员每投入1人员得2分，最高得7分。</w:t>
            </w:r>
          </w:p>
          <w:p>
            <w:pPr>
              <w:bidi w:val="0"/>
              <w:rPr>
                <w:rFonts w:hint="eastAsia"/>
                <w:lang w:val="en-US" w:eastAsia="zh-CN"/>
              </w:rPr>
            </w:pPr>
            <w:r>
              <w:rPr>
                <w:rFonts w:hint="eastAsia"/>
                <w:lang w:val="en-US" w:eastAsia="zh-CN"/>
              </w:rPr>
              <w:t>需提供持证人的证书证明文件及由社保局出具的开标当月之前连续六个月社保缴纳证明文件，无或未提供社保缴纳证明文件不得分。</w:t>
            </w:r>
          </w:p>
        </w:tc>
        <w:tc>
          <w:tcPr>
            <w:tcW w:w="950" w:type="dxa"/>
            <w:tcBorders>
              <w:top w:val="single" w:color="auto" w:sz="4" w:space="0"/>
              <w:left w:val="single" w:color="auto" w:sz="4" w:space="0"/>
              <w:bottom w:val="single" w:color="auto" w:sz="4" w:space="0"/>
              <w:right w:val="outset" w:color="auto" w:sz="6" w:space="0"/>
            </w:tcBorders>
            <w:vAlign w:val="center"/>
          </w:tcPr>
          <w:p>
            <w:pPr>
              <w:bidi w:val="0"/>
              <w:rPr>
                <w:rFonts w:hint="eastAsia"/>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4" w:hRule="atLeast"/>
        </w:trPr>
        <w:tc>
          <w:tcPr>
            <w:tcW w:w="653" w:type="dxa"/>
            <w:vMerge w:val="continue"/>
            <w:tcBorders>
              <w:left w:val="single" w:color="auto" w:sz="4" w:space="0"/>
              <w:bottom w:val="single" w:color="auto" w:sz="4" w:space="0"/>
              <w:right w:val="single" w:color="auto" w:sz="4" w:space="0"/>
            </w:tcBorders>
            <w:vAlign w:val="center"/>
          </w:tcPr>
          <w:p>
            <w:pPr>
              <w:bidi w:val="0"/>
              <w:jc w:val="center"/>
              <w:rPr>
                <w:rFonts w:hint="eastAsia"/>
                <w:lang w:val="en-US" w:eastAsia="zh-CN"/>
              </w:rPr>
            </w:pPr>
          </w:p>
        </w:tc>
        <w:tc>
          <w:tcPr>
            <w:tcW w:w="64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技术总分</w:t>
            </w:r>
          </w:p>
        </w:tc>
        <w:tc>
          <w:tcPr>
            <w:tcW w:w="73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en-US" w:eastAsia="zh-CN"/>
              </w:rPr>
              <w:t>25</w:t>
            </w:r>
          </w:p>
        </w:tc>
        <w:tc>
          <w:tcPr>
            <w:tcW w:w="6300" w:type="dxa"/>
            <w:tcBorders>
              <w:top w:val="single" w:color="auto" w:sz="4" w:space="0"/>
              <w:left w:val="single" w:color="auto" w:sz="4" w:space="0"/>
              <w:bottom w:val="single" w:color="auto" w:sz="4" w:space="0"/>
              <w:right w:val="single" w:color="auto" w:sz="4" w:space="0"/>
            </w:tcBorders>
            <w:vAlign w:val="center"/>
          </w:tcPr>
          <w:p>
            <w:pPr>
              <w:bidi w:val="0"/>
              <w:rPr>
                <w:rFonts w:hint="eastAsia"/>
                <w:lang w:val="en-US" w:eastAsia="zh-CN"/>
              </w:rPr>
            </w:pPr>
          </w:p>
        </w:tc>
        <w:tc>
          <w:tcPr>
            <w:tcW w:w="950" w:type="dxa"/>
            <w:tcBorders>
              <w:top w:val="single" w:color="auto" w:sz="4" w:space="0"/>
              <w:left w:val="single" w:color="auto" w:sz="4" w:space="0"/>
              <w:bottom w:val="single" w:color="auto" w:sz="4" w:space="0"/>
              <w:right w:val="outset" w:color="auto" w:sz="6" w:space="0"/>
            </w:tcBorders>
            <w:vAlign w:val="center"/>
          </w:tcPr>
          <w:p>
            <w:pPr>
              <w:bidi w:val="0"/>
              <w:rPr>
                <w:rFonts w:hint="eastAsia"/>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50" w:hRule="atLeast"/>
        </w:trPr>
        <w:tc>
          <w:tcPr>
            <w:tcW w:w="653" w:type="dxa"/>
            <w:vMerge w:val="restart"/>
            <w:tcBorders>
              <w:top w:val="single" w:color="auto" w:sz="4" w:space="0"/>
              <w:left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价格分</w:t>
            </w:r>
          </w:p>
        </w:tc>
        <w:tc>
          <w:tcPr>
            <w:tcW w:w="64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1</w:t>
            </w:r>
          </w:p>
        </w:tc>
        <w:tc>
          <w:tcPr>
            <w:tcW w:w="129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评分标准</w:t>
            </w:r>
          </w:p>
        </w:tc>
        <w:tc>
          <w:tcPr>
            <w:tcW w:w="73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en-US" w:eastAsia="zh-CN"/>
              </w:rPr>
              <w:t>50</w:t>
            </w:r>
          </w:p>
        </w:tc>
        <w:tc>
          <w:tcPr>
            <w:tcW w:w="6300" w:type="dxa"/>
            <w:tcBorders>
              <w:top w:val="single" w:color="auto" w:sz="4" w:space="0"/>
              <w:left w:val="single" w:color="auto" w:sz="4" w:space="0"/>
              <w:bottom w:val="single" w:color="auto" w:sz="4" w:space="0"/>
              <w:right w:val="single" w:color="auto" w:sz="4" w:space="0"/>
            </w:tcBorders>
            <w:vAlign w:val="center"/>
          </w:tcPr>
          <w:p>
            <w:pPr>
              <w:bidi w:val="0"/>
              <w:rPr>
                <w:rFonts w:hint="eastAsia"/>
                <w:lang w:val="en-US" w:eastAsia="zh-CN"/>
              </w:rPr>
            </w:pPr>
            <w:r>
              <w:rPr>
                <w:rFonts w:hint="eastAsia"/>
                <w:lang w:val="en-US" w:eastAsia="zh-CN"/>
              </w:rPr>
              <w:t>投标单位投标总价（含税）不得超过相应上限（最高限价为14.73万元），不得超过相应下限（最低限价为10.31万元，下浮率30%），超过限价将视为无效投标；</w:t>
            </w:r>
          </w:p>
          <w:p>
            <w:pPr>
              <w:bidi w:val="0"/>
              <w:rPr>
                <w:rFonts w:hint="eastAsia"/>
                <w:lang w:val="en-US" w:eastAsia="zh-CN"/>
              </w:rPr>
            </w:pPr>
            <w:r>
              <w:rPr>
                <w:rFonts w:hint="eastAsia"/>
                <w:lang w:val="en-US" w:eastAsia="zh-CN"/>
              </w:rPr>
              <w:t>1、评分规则如下：</w:t>
            </w:r>
          </w:p>
          <w:p>
            <w:pPr>
              <w:bidi w:val="0"/>
              <w:rPr>
                <w:rFonts w:hint="eastAsia"/>
                <w:lang w:val="en-US" w:eastAsia="zh-CN"/>
              </w:rPr>
            </w:pPr>
            <w:r>
              <w:rPr>
                <w:rFonts w:hint="eastAsia"/>
                <w:lang w:val="en-US" w:eastAsia="zh-CN"/>
              </w:rPr>
              <w:t>（1）以所有有效投标价格的最低价作为基准价格；</w:t>
            </w:r>
          </w:p>
          <w:p>
            <w:pPr>
              <w:bidi w:val="0"/>
              <w:rPr>
                <w:rFonts w:hint="eastAsia"/>
                <w:lang w:val="en-US" w:eastAsia="zh-CN"/>
              </w:rPr>
            </w:pPr>
            <w:r>
              <w:rPr>
                <w:rFonts w:hint="eastAsia"/>
                <w:lang w:val="en-US" w:eastAsia="zh-CN"/>
              </w:rPr>
              <w:t xml:space="preserve">（2）计分规则： </w:t>
            </w:r>
          </w:p>
          <w:p>
            <w:pPr>
              <w:bidi w:val="0"/>
              <w:rPr>
                <w:rFonts w:hint="eastAsia"/>
                <w:lang w:val="en-US" w:eastAsia="zh-CN"/>
              </w:rPr>
            </w:pPr>
            <w:r>
              <w:rPr>
                <w:rFonts w:hint="eastAsia"/>
                <w:lang w:val="en-US" w:eastAsia="zh-CN"/>
              </w:rPr>
              <w:t>等于基准价格的评标价定为50分，高于基准价格的评标价则按以下公式计算：</w:t>
            </w:r>
          </w:p>
          <w:p>
            <w:pPr>
              <w:bidi w:val="0"/>
              <w:rPr>
                <w:rFonts w:hint="eastAsia"/>
                <w:lang w:val="en-US" w:eastAsia="zh-CN"/>
              </w:rPr>
            </w:pPr>
            <w:r>
              <w:rPr>
                <w:rFonts w:hint="eastAsia"/>
                <w:lang w:val="en-US" w:eastAsia="zh-CN"/>
              </w:rPr>
              <w:t>价格评分=基准价格/投标价×50，如此类推，算出所有投标人的价格评分。</w:t>
            </w:r>
          </w:p>
        </w:tc>
        <w:tc>
          <w:tcPr>
            <w:tcW w:w="950" w:type="dxa"/>
            <w:tcBorders>
              <w:top w:val="single" w:color="auto" w:sz="4" w:space="0"/>
              <w:left w:val="single" w:color="auto" w:sz="4" w:space="0"/>
              <w:bottom w:val="single" w:color="auto" w:sz="4" w:space="0"/>
              <w:right w:val="outset" w:color="auto" w:sz="6" w:space="0"/>
            </w:tcBorders>
            <w:vAlign w:val="center"/>
          </w:tcPr>
          <w:p>
            <w:pPr>
              <w:bidi w:val="0"/>
              <w:rPr>
                <w:rFonts w:hint="eastAsia"/>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0" w:hRule="atLeast"/>
        </w:trPr>
        <w:tc>
          <w:tcPr>
            <w:tcW w:w="653" w:type="dxa"/>
            <w:vMerge w:val="continue"/>
            <w:tcBorders>
              <w:left w:val="single" w:color="auto" w:sz="4" w:space="0"/>
              <w:bottom w:val="single" w:color="auto" w:sz="4" w:space="0"/>
              <w:right w:val="single" w:color="auto" w:sz="4" w:space="0"/>
            </w:tcBorders>
            <w:vAlign w:val="center"/>
          </w:tcPr>
          <w:p>
            <w:pPr>
              <w:bidi w:val="0"/>
              <w:jc w:val="center"/>
              <w:rPr>
                <w:rFonts w:hint="eastAsia"/>
                <w:lang w:val="en-US" w:eastAsia="zh-CN"/>
              </w:rPr>
            </w:pPr>
          </w:p>
        </w:tc>
        <w:tc>
          <w:tcPr>
            <w:tcW w:w="64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价格总分</w:t>
            </w:r>
          </w:p>
        </w:tc>
        <w:tc>
          <w:tcPr>
            <w:tcW w:w="73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en-US" w:eastAsia="zh-CN"/>
              </w:rPr>
              <w:t>50</w:t>
            </w:r>
          </w:p>
        </w:tc>
        <w:tc>
          <w:tcPr>
            <w:tcW w:w="6300" w:type="dxa"/>
            <w:tcBorders>
              <w:top w:val="single" w:color="auto" w:sz="4" w:space="0"/>
              <w:left w:val="single" w:color="auto" w:sz="4" w:space="0"/>
              <w:bottom w:val="single" w:color="auto" w:sz="4" w:space="0"/>
              <w:right w:val="single" w:color="auto" w:sz="4" w:space="0"/>
            </w:tcBorders>
            <w:vAlign w:val="center"/>
          </w:tcPr>
          <w:p>
            <w:pPr>
              <w:bidi w:val="0"/>
              <w:rPr>
                <w:rFonts w:hint="eastAsia"/>
                <w:lang w:val="en-US" w:eastAsia="zh-CN"/>
              </w:rPr>
            </w:pPr>
          </w:p>
        </w:tc>
        <w:tc>
          <w:tcPr>
            <w:tcW w:w="950" w:type="dxa"/>
            <w:tcBorders>
              <w:top w:val="single" w:color="auto" w:sz="4" w:space="0"/>
              <w:left w:val="single" w:color="auto" w:sz="4" w:space="0"/>
              <w:bottom w:val="outset" w:color="auto" w:sz="6" w:space="0"/>
              <w:right w:val="outset" w:color="auto" w:sz="6" w:space="0"/>
            </w:tcBorders>
            <w:vAlign w:val="center"/>
          </w:tcPr>
          <w:p>
            <w:pPr>
              <w:bidi w:val="0"/>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sectPr>
      <w:footerReference r:id="rId5" w:type="default"/>
      <w:pgSz w:w="11906" w:h="16838"/>
      <w:pgMar w:top="720" w:right="720" w:bottom="720" w:left="7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评标专家：               联系电话：                  日期：    年      月     日</w:t>
    </w:r>
  </w:p>
  <w:p>
    <w:pPr>
      <w:pStyle w:val="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70"/>
    <w:rsid w:val="0012737C"/>
    <w:rsid w:val="00375B70"/>
    <w:rsid w:val="005856FD"/>
    <w:rsid w:val="0083616B"/>
    <w:rsid w:val="009D6226"/>
    <w:rsid w:val="00A13480"/>
    <w:rsid w:val="00AA1E36"/>
    <w:rsid w:val="00B0029A"/>
    <w:rsid w:val="00C01272"/>
    <w:rsid w:val="00D36112"/>
    <w:rsid w:val="00EC505D"/>
    <w:rsid w:val="00EE3404"/>
    <w:rsid w:val="01CA006F"/>
    <w:rsid w:val="02C83B66"/>
    <w:rsid w:val="02D7158C"/>
    <w:rsid w:val="02FD3E39"/>
    <w:rsid w:val="034B1C2C"/>
    <w:rsid w:val="05480D9C"/>
    <w:rsid w:val="055006AA"/>
    <w:rsid w:val="05C1088C"/>
    <w:rsid w:val="05D854B4"/>
    <w:rsid w:val="069E0CB9"/>
    <w:rsid w:val="086A3DB2"/>
    <w:rsid w:val="09276631"/>
    <w:rsid w:val="0CBA302E"/>
    <w:rsid w:val="0E78327F"/>
    <w:rsid w:val="11000239"/>
    <w:rsid w:val="13E511BF"/>
    <w:rsid w:val="145947EB"/>
    <w:rsid w:val="14BE6C73"/>
    <w:rsid w:val="16A54C96"/>
    <w:rsid w:val="17DB5243"/>
    <w:rsid w:val="17EC1462"/>
    <w:rsid w:val="19F422F7"/>
    <w:rsid w:val="1ACD523A"/>
    <w:rsid w:val="1BE142FB"/>
    <w:rsid w:val="1FB5297C"/>
    <w:rsid w:val="21193BC2"/>
    <w:rsid w:val="211B40C0"/>
    <w:rsid w:val="25B35135"/>
    <w:rsid w:val="25E6584A"/>
    <w:rsid w:val="262E2742"/>
    <w:rsid w:val="27D55D2F"/>
    <w:rsid w:val="28B23FC9"/>
    <w:rsid w:val="29F04490"/>
    <w:rsid w:val="2C080963"/>
    <w:rsid w:val="2C092E68"/>
    <w:rsid w:val="2D2C308C"/>
    <w:rsid w:val="2F750992"/>
    <w:rsid w:val="2FEB79A2"/>
    <w:rsid w:val="32057012"/>
    <w:rsid w:val="32301CA4"/>
    <w:rsid w:val="35BA474C"/>
    <w:rsid w:val="35E02E31"/>
    <w:rsid w:val="35E60482"/>
    <w:rsid w:val="371F1E4B"/>
    <w:rsid w:val="38136EE6"/>
    <w:rsid w:val="3A491676"/>
    <w:rsid w:val="3BD258B2"/>
    <w:rsid w:val="3BFA7DE8"/>
    <w:rsid w:val="3C8049FB"/>
    <w:rsid w:val="3D8F1097"/>
    <w:rsid w:val="3E856F8B"/>
    <w:rsid w:val="3F74529B"/>
    <w:rsid w:val="3F831793"/>
    <w:rsid w:val="40623929"/>
    <w:rsid w:val="41AA7FCE"/>
    <w:rsid w:val="41CF52D3"/>
    <w:rsid w:val="432C6E7D"/>
    <w:rsid w:val="44C36F31"/>
    <w:rsid w:val="480778B4"/>
    <w:rsid w:val="497808FE"/>
    <w:rsid w:val="4A257ED7"/>
    <w:rsid w:val="4A951C4F"/>
    <w:rsid w:val="4B932491"/>
    <w:rsid w:val="4CFE3A9E"/>
    <w:rsid w:val="4D386965"/>
    <w:rsid w:val="4E001B55"/>
    <w:rsid w:val="51FC224D"/>
    <w:rsid w:val="546B1AD7"/>
    <w:rsid w:val="57033B80"/>
    <w:rsid w:val="576117E1"/>
    <w:rsid w:val="57A10704"/>
    <w:rsid w:val="57E572FB"/>
    <w:rsid w:val="583A6874"/>
    <w:rsid w:val="58553844"/>
    <w:rsid w:val="59B8104C"/>
    <w:rsid w:val="5A946FE7"/>
    <w:rsid w:val="5B5F7059"/>
    <w:rsid w:val="5D58739D"/>
    <w:rsid w:val="5E1E7EF4"/>
    <w:rsid w:val="5FCF4775"/>
    <w:rsid w:val="601C0DBD"/>
    <w:rsid w:val="60887792"/>
    <w:rsid w:val="625248D2"/>
    <w:rsid w:val="63650B63"/>
    <w:rsid w:val="64504C7B"/>
    <w:rsid w:val="66FC2254"/>
    <w:rsid w:val="678A4606"/>
    <w:rsid w:val="680006DD"/>
    <w:rsid w:val="68391C49"/>
    <w:rsid w:val="684E4008"/>
    <w:rsid w:val="68986F68"/>
    <w:rsid w:val="6C257E3C"/>
    <w:rsid w:val="73453743"/>
    <w:rsid w:val="74E76473"/>
    <w:rsid w:val="762A04F8"/>
    <w:rsid w:val="77050554"/>
    <w:rsid w:val="77B04CEA"/>
    <w:rsid w:val="7878657D"/>
    <w:rsid w:val="78A3185E"/>
    <w:rsid w:val="7A1D7CD5"/>
    <w:rsid w:val="7F4907CF"/>
    <w:rsid w:val="7F73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heme="minorAscii" w:hAnsiTheme="minorAsci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3">
    <w:name w:val="Plain Text"/>
    <w:basedOn w:val="1"/>
    <w:qFormat/>
    <w:uiPriority w:val="0"/>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p16"/>
    <w:basedOn w:val="1"/>
    <w:qFormat/>
    <w:uiPriority w:val="0"/>
    <w:pPr>
      <w:spacing w:after="120" w:line="360" w:lineRule="auto"/>
    </w:pPr>
    <w:rPr>
      <w:rFonts w:ascii="Times New Roman" w:hAnsi="Times New Roman" w:eastAsia="宋体" w:cs="Times New Roman"/>
      <w:szCs w:val="20"/>
    </w:rPr>
  </w:style>
  <w:style w:type="paragraph" w:customStyle="1" w:styleId="1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NormalCharacter"/>
    <w:qFormat/>
    <w:uiPriority w:val="0"/>
    <w:rPr>
      <w:rFonts w:ascii="Times New Roman" w:hAnsi="Times New Roman" w:eastAsia="宋体" w:cs="Times New Roman"/>
      <w:kern w:val="2"/>
      <w:sz w:val="21"/>
      <w:szCs w:val="24"/>
      <w:lang w:val="en-US" w:eastAsia="zh-CN" w:bidi="ar-SA"/>
    </w:rPr>
  </w:style>
  <w:style w:type="paragraph" w:customStyle="1" w:styleId="14">
    <w:name w:val="mybody"/>
    <w:basedOn w:val="1"/>
    <w:qFormat/>
    <w:uiPriority w:val="0"/>
    <w:pPr>
      <w:spacing w:beforeLines="100" w:afterLines="100" w:line="288" w:lineRule="auto"/>
      <w:ind w:firstLine="200" w:firstLineChars="200"/>
    </w:pPr>
    <w:rPr>
      <w:color w:val="000000" w:themeColor="text1"/>
      <w:sz w:val="28"/>
      <w14:textFill>
        <w14:solidFill>
          <w14:schemeClr w14:val="tx1"/>
        </w14:solidFill>
      </w14:textFill>
    </w:rPr>
  </w:style>
  <w:style w:type="paragraph" w:customStyle="1" w:styleId="15">
    <w:name w:val="mylist"/>
    <w:basedOn w:val="1"/>
    <w:qFormat/>
    <w:uiPriority w:val="0"/>
    <w:pPr>
      <w:spacing w:beforeLines="50" w:afterLines="50"/>
      <w:ind w:firstLine="200" w:firstLineChars="200"/>
      <w:outlineLvl w:val="1"/>
    </w:pPr>
    <w:rPr>
      <w:b/>
      <w:sz w:val="2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285</Words>
  <Characters>1628</Characters>
  <Lines>13</Lines>
  <Paragraphs>3</Paragraphs>
  <TotalTime>4</TotalTime>
  <ScaleCrop>false</ScaleCrop>
  <LinksUpToDate>false</LinksUpToDate>
  <CharactersWithSpaces>1910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2019-08-20T10:25:00Z</dcterms:created>
  <dc:creator>刘丽</dc:creator>
  <cp:lastModifiedBy>Pc</cp:lastModifiedBy>
  <cp:lastPrinted>2021-05-12T08:04:00Z</cp:lastPrinted>
  <dcterms:modified xsi:type="dcterms:W3CDTF">2021-06-10T02:21:59Z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4A964DD20E1F4C1E9E003E6E4B0A00D0</vt:lpwstr>
  </property>
</Properties>
</file>