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广州南方学院图书馆视频监控建设项目采购需求书</w:t>
      </w:r>
    </w:p>
    <w:p>
      <w:pPr>
        <w:rPr>
          <w:rFonts w:asciiTheme="minorEastAsia" w:hAnsiTheme="minorEastAsia" w:eastAsiaTheme="minorEastAsia"/>
          <w:sz w:val="24"/>
          <w:szCs w:val="24"/>
        </w:rPr>
      </w:pPr>
    </w:p>
    <w:p>
      <w:pPr>
        <w:pStyle w:val="27"/>
        <w:numPr>
          <w:ilvl w:val="0"/>
          <w:numId w:val="1"/>
        </w:numPr>
        <w:ind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项目概况</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项目名称：广州南方学院图书馆视频监控建设项目。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项目概况：本项目为广州南方学院图书馆内部视频监控建设项目。广州南方学院图书馆共5层，分为主楼和附楼，建筑面积约2</w:t>
      </w:r>
      <w:r>
        <w:rPr>
          <w:rFonts w:asciiTheme="minorEastAsia" w:hAnsiTheme="minorEastAsia" w:eastAsiaTheme="minorEastAsia"/>
          <w:sz w:val="24"/>
          <w:szCs w:val="24"/>
        </w:rPr>
        <w:t>.5</w:t>
      </w:r>
      <w:r>
        <w:rPr>
          <w:rFonts w:hint="eastAsia" w:asciiTheme="minorEastAsia" w:hAnsiTheme="minorEastAsia" w:eastAsiaTheme="minorEastAsia"/>
          <w:sz w:val="24"/>
          <w:szCs w:val="24"/>
        </w:rPr>
        <w:t>万平方米。本项目在图书馆内部预计新建视频监控点</w:t>
      </w:r>
      <w:r>
        <w:rPr>
          <w:rFonts w:asciiTheme="minorEastAsia" w:hAnsiTheme="minorEastAsia" w:eastAsiaTheme="minorEastAsia"/>
          <w:sz w:val="24"/>
          <w:szCs w:val="24"/>
        </w:rPr>
        <w:t>64</w:t>
      </w:r>
      <w:r>
        <w:rPr>
          <w:rFonts w:hint="eastAsia" w:asciiTheme="minorEastAsia" w:hAnsiTheme="minorEastAsia" w:eastAsiaTheme="minorEastAsia"/>
          <w:sz w:val="24"/>
          <w:szCs w:val="24"/>
        </w:rPr>
        <w:t>个，包括在图书馆前广场、主出入口、地下车库、主要公共区域、主要通道、楼梯口等处所部署高清红外监控摄像机，进行全天候监控，并建设相应的传输链路及存储系统。</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建设时间：2</w:t>
      </w:r>
      <w:r>
        <w:rPr>
          <w:rFonts w:asciiTheme="minorEastAsia" w:hAnsiTheme="minorEastAsia" w:eastAsiaTheme="minorEastAsia"/>
          <w:sz w:val="24"/>
          <w:szCs w:val="24"/>
        </w:rPr>
        <w:t>021</w:t>
      </w:r>
      <w:r>
        <w:rPr>
          <w:rFonts w:hint="eastAsia" w:asciiTheme="minorEastAsia" w:hAnsiTheme="minorEastAsia" w:eastAsiaTheme="minorEastAsia"/>
          <w:sz w:val="24"/>
          <w:szCs w:val="24"/>
        </w:rPr>
        <w:t>年8月</w:t>
      </w:r>
      <w:r>
        <w:rPr>
          <w:rFonts w:asciiTheme="minorEastAsia" w:hAnsiTheme="minorEastAsia" w:eastAsiaTheme="minorEastAsia"/>
          <w:sz w:val="24"/>
          <w:szCs w:val="24"/>
        </w:rPr>
        <w:t>20</w:t>
      </w:r>
      <w:r>
        <w:rPr>
          <w:rFonts w:hint="eastAsia" w:asciiTheme="minorEastAsia" w:hAnsiTheme="minorEastAsia" w:eastAsiaTheme="minorEastAsia"/>
          <w:sz w:val="24"/>
          <w:szCs w:val="24"/>
        </w:rPr>
        <w:t>日前。</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项目地址：广州市从化区温泉镇温泉大道8</w:t>
      </w:r>
      <w:r>
        <w:rPr>
          <w:rFonts w:asciiTheme="minorEastAsia" w:hAnsiTheme="minorEastAsia" w:eastAsiaTheme="minorEastAsia"/>
          <w:sz w:val="24"/>
          <w:szCs w:val="24"/>
        </w:rPr>
        <w:t>82</w:t>
      </w:r>
      <w:r>
        <w:rPr>
          <w:rFonts w:hint="eastAsia" w:asciiTheme="minorEastAsia" w:hAnsiTheme="minorEastAsia" w:eastAsiaTheme="minorEastAsia"/>
          <w:sz w:val="24"/>
          <w:szCs w:val="24"/>
        </w:rPr>
        <w:t>号。</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项目预算金额：30万元。</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项目资金来源：经批准的2</w:t>
      </w:r>
      <w:r>
        <w:rPr>
          <w:rFonts w:asciiTheme="minorEastAsia" w:hAnsiTheme="minorEastAsia" w:eastAsiaTheme="minorEastAsia"/>
          <w:sz w:val="24"/>
          <w:szCs w:val="24"/>
        </w:rPr>
        <w:t>020</w:t>
      </w:r>
      <w:r>
        <w:rPr>
          <w:rFonts w:hint="eastAsia" w:asciiTheme="minorEastAsia" w:hAnsiTheme="minorEastAsia" w:eastAsiaTheme="minorEastAsia"/>
          <w:sz w:val="24"/>
          <w:szCs w:val="24"/>
        </w:rPr>
        <w:t>-</w:t>
      </w:r>
      <w:r>
        <w:rPr>
          <w:rFonts w:asciiTheme="minorEastAsia" w:hAnsiTheme="minorEastAsia" w:eastAsiaTheme="minorEastAsia"/>
          <w:sz w:val="24"/>
          <w:szCs w:val="24"/>
        </w:rPr>
        <w:t>2021</w:t>
      </w:r>
      <w:r>
        <w:rPr>
          <w:rFonts w:hint="eastAsia" w:asciiTheme="minorEastAsia" w:hAnsiTheme="minorEastAsia" w:eastAsiaTheme="minorEastAsia"/>
          <w:sz w:val="24"/>
          <w:szCs w:val="24"/>
        </w:rPr>
        <w:t>学年大中型维修改造预算专项。</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供应商资质要求：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（1）具有独立承担民事责任的能力；</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（2）具有良好的商业信誉和健全的财务会计制度；</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（3）具有履行合同所必须的设备和专业技术能力；</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（4）具有依法缴纳税收的良好记录；</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（5）曾参加过其他院校同类型的采购活动，在经营活动中没有重大违法记录。</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（6）注册资金200万元（含200万元）以上，具备独立法人资格。</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（7）具有广东省安全技术防范工程设计、施工、维修二级资格证（外省企业参与投标的必须提供省公安厅的出具的有效的技防备案证）。</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（8）投标人在投标时须提供摄像机，并根据招标要求配合采购方进行技术性能测试，测试内容包括但不限于下列内容，要求测试结果将作为评标时评分与验收时的重要参考依据。</w:t>
      </w:r>
    </w:p>
    <w:p>
      <w:pPr>
        <w:ind w:firstLine="480" w:firstLineChars="200"/>
        <w:rPr>
          <w:rFonts w:asciiTheme="minorEastAsia" w:hAnsiTheme="minorEastAsia" w:eastAsiaTheme="minorEastAsia"/>
          <w:sz w:val="24"/>
          <w:szCs w:val="24"/>
        </w:rPr>
      </w:pP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二、总体要求</w:t>
      </w:r>
    </w:p>
    <w:p>
      <w:pPr>
        <w:ind w:firstLine="480" w:firstLineChars="200"/>
        <w:rPr>
          <w:rFonts w:ascii="宋体" w:hAnsi="宋体" w:cs="宋体"/>
          <w:bCs/>
          <w:sz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宋体" w:hAnsi="宋体" w:cs="宋体"/>
          <w:sz w:val="24"/>
        </w:rPr>
        <w:t>本项目采购预算为人民币</w:t>
      </w:r>
      <w:r>
        <w:rPr>
          <w:rFonts w:ascii="宋体" w:hAnsi="宋体" w:cs="宋体"/>
          <w:sz w:val="24"/>
        </w:rPr>
        <w:t>30万</w:t>
      </w:r>
      <w:r>
        <w:rPr>
          <w:rFonts w:hint="eastAsia" w:ascii="宋体" w:hAnsi="宋体" w:cs="宋体"/>
          <w:sz w:val="24"/>
        </w:rPr>
        <w:t>元</w:t>
      </w:r>
      <w:r>
        <w:rPr>
          <w:rFonts w:hint="eastAsia" w:ascii="宋体" w:hAnsi="宋体" w:cs="宋体"/>
          <w:bCs/>
          <w:sz w:val="24"/>
        </w:rPr>
        <w:t>。</w:t>
      </w:r>
    </w:p>
    <w:p>
      <w:pPr>
        <w:tabs>
          <w:tab w:val="left" w:pos="1260"/>
        </w:tabs>
        <w:ind w:firstLine="480" w:firstLineChars="200"/>
        <w:rPr>
          <w:rFonts w:ascii="宋体" w:hAnsi="宋体" w:cs="宋体"/>
          <w:sz w:val="24"/>
        </w:rPr>
      </w:pPr>
      <w:r>
        <w:rPr>
          <w:rFonts w:hint="eastAsia" w:ascii="宋体" w:hAnsi="宋体" w:cs="宋体"/>
          <w:bCs/>
          <w:sz w:val="24"/>
        </w:rPr>
        <w:t>2</w:t>
      </w:r>
      <w:r>
        <w:rPr>
          <w:rFonts w:ascii="宋体" w:hAnsi="宋体" w:cs="宋体"/>
          <w:bCs/>
          <w:sz w:val="24"/>
        </w:rPr>
        <w:t>.</w:t>
      </w:r>
      <w:r>
        <w:rPr>
          <w:rFonts w:hint="eastAsia" w:ascii="宋体" w:hAnsi="宋体" w:cs="宋体"/>
          <w:bCs/>
          <w:sz w:val="24"/>
        </w:rPr>
        <w:t>本项目</w:t>
      </w:r>
      <w:r>
        <w:rPr>
          <w:rFonts w:hint="eastAsia" w:ascii="宋体" w:hAnsi="宋体" w:cs="宋体"/>
          <w:sz w:val="24"/>
        </w:rPr>
        <w:t>核心产品为网络高清红外枪机。</w:t>
      </w:r>
    </w:p>
    <w:p>
      <w:pPr>
        <w:tabs>
          <w:tab w:val="left" w:pos="1260"/>
        </w:tabs>
        <w:ind w:firstLine="480" w:firstLineChars="20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投标总报价包括完成本项目的成本、利润、运费、税金等全部费用。投标人所投设备及材料应是原厂原装、全新的产品，并符合下列要求：国家标准、行业标准以及该产品的出厂标准。</w:t>
      </w:r>
    </w:p>
    <w:p>
      <w:pPr>
        <w:tabs>
          <w:tab w:val="left" w:pos="1260"/>
        </w:tabs>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投标人应对投标设备列明其品牌、型号、制造商名称、产地、技术参数、功能介绍和使用说明。</w:t>
      </w:r>
    </w:p>
    <w:p>
      <w:pPr>
        <w:tabs>
          <w:tab w:val="left" w:pos="1260"/>
        </w:tabs>
        <w:ind w:firstLine="480" w:firstLineChars="200"/>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伴随服务：全部设备的技术设计、运输、安装调试、人员培训、售后服务、含税等费用。前述费用包含在投标总价内。</w:t>
      </w:r>
    </w:p>
    <w:p>
      <w:pPr>
        <w:tabs>
          <w:tab w:val="left" w:pos="1260"/>
        </w:tabs>
        <w:ind w:firstLine="480" w:firstLineChars="200"/>
        <w:rPr>
          <w:rFonts w:ascii="宋体" w:hAnsi="宋体" w:cs="宋体"/>
          <w:bCs/>
          <w:sz w:val="24"/>
        </w:rPr>
      </w:pPr>
      <w:r>
        <w:rPr>
          <w:rFonts w:hint="eastAsia" w:ascii="宋体" w:hAnsi="宋体" w:cs="宋体"/>
          <w:sz w:val="24"/>
        </w:rPr>
        <w:t>6</w:t>
      </w:r>
      <w:r>
        <w:rPr>
          <w:rFonts w:ascii="宋体" w:hAnsi="宋体" w:cs="宋体"/>
          <w:sz w:val="24"/>
        </w:rPr>
        <w:t>.</w:t>
      </w:r>
      <w:r>
        <w:rPr>
          <w:rFonts w:hint="eastAsia" w:ascii="宋体" w:hAnsi="宋体" w:cs="宋体"/>
          <w:bCs/>
          <w:sz w:val="24"/>
        </w:rPr>
        <w:t>投标报价清单必须与采购货物清单一致。</w:t>
      </w:r>
    </w:p>
    <w:p>
      <w:pPr>
        <w:tabs>
          <w:tab w:val="left" w:pos="1260"/>
        </w:tabs>
        <w:ind w:firstLine="480" w:firstLineChars="200"/>
        <w:rPr>
          <w:rFonts w:ascii="宋体" w:hAnsi="宋体" w:cs="宋体"/>
          <w:bCs/>
          <w:sz w:val="24"/>
        </w:rPr>
      </w:pPr>
      <w:r>
        <w:rPr>
          <w:rFonts w:hint="eastAsia" w:ascii="宋体" w:hAnsi="宋体" w:cs="宋体"/>
          <w:bCs/>
          <w:sz w:val="24"/>
        </w:rPr>
        <w:t>7</w:t>
      </w:r>
      <w:r>
        <w:rPr>
          <w:rFonts w:ascii="宋体" w:hAnsi="宋体" w:cs="宋体"/>
          <w:bCs/>
          <w:sz w:val="24"/>
        </w:rPr>
        <w:t>.</w:t>
      </w:r>
      <w:r>
        <w:rPr>
          <w:rFonts w:hint="eastAsia" w:ascii="宋体" w:hAnsi="宋体" w:cs="宋体"/>
          <w:bCs/>
          <w:sz w:val="24"/>
        </w:rPr>
        <w:t>签订合同时提供“货物设备技术要求”中注明“提供公安部检测报告证明”、“第三方检测报告”等相关证明材料。</w:t>
      </w:r>
    </w:p>
    <w:p>
      <w:pPr>
        <w:tabs>
          <w:tab w:val="left" w:pos="1260"/>
        </w:tabs>
        <w:ind w:firstLine="480" w:firstLineChars="200"/>
        <w:rPr>
          <w:rFonts w:ascii="宋体" w:hAnsi="宋体" w:cs="宋体"/>
          <w:kern w:val="0"/>
          <w:sz w:val="24"/>
        </w:rPr>
      </w:pPr>
      <w:r>
        <w:rPr>
          <w:rFonts w:ascii="宋体" w:hAnsi="宋体" w:cs="宋体"/>
          <w:bCs/>
          <w:sz w:val="24"/>
        </w:rPr>
        <w:t>8.</w:t>
      </w:r>
      <w:r>
        <w:rPr>
          <w:rFonts w:hint="eastAsia" w:ascii="宋体" w:hAnsi="宋体" w:cs="宋体"/>
          <w:kern w:val="0"/>
          <w:sz w:val="24"/>
        </w:rPr>
        <w:t>如评标委员会认为投标人的报价明显低于其他通过符合性审查投标人的报价，有可能影响产品质量或者不能诚信履约的，可要求投标人提供书面说明（报价成本分析报告），投标人需在接到评标委员会通知后一小时内提供详细的报价成本分析报告（包含各项进货成本、开发设计成本明细、项目实施成本、税费、利润、安装成本等等的详细说明）及相关佐证材料。如未能及时提供报价成本分析报告或评审委员会认为其报价成本分析报告不合理的，评标委员会将对其作为无效投标处理。</w:t>
      </w:r>
    </w:p>
    <w:p>
      <w:pPr>
        <w:tabs>
          <w:tab w:val="left" w:pos="1260"/>
        </w:tabs>
        <w:ind w:firstLine="480" w:firstLineChars="200"/>
        <w:rPr>
          <w:rFonts w:ascii="宋体" w:hAnsi="宋体" w:cs="宋体"/>
          <w:sz w:val="24"/>
        </w:rPr>
      </w:pPr>
      <w:r>
        <w:rPr>
          <w:rFonts w:hint="eastAsia" w:ascii="宋体" w:hAnsi="宋体" w:cs="宋体"/>
          <w:kern w:val="0"/>
          <w:sz w:val="24"/>
        </w:rPr>
        <w:t>9</w:t>
      </w:r>
      <w:r>
        <w:rPr>
          <w:rFonts w:ascii="宋体" w:hAnsi="宋体" w:cs="宋体"/>
          <w:kern w:val="0"/>
          <w:sz w:val="24"/>
        </w:rPr>
        <w:t>.</w:t>
      </w:r>
      <w:r>
        <w:rPr>
          <w:rFonts w:hint="eastAsia" w:ascii="宋体" w:hAnsi="宋体" w:cs="宋体"/>
          <w:sz w:val="24"/>
        </w:rPr>
        <w:t>投标人在响应投标方案中对这部分内容应尽量列出具体参数或作出详细应答。如果投标人只简单注明“符合”或“满足”，将影响其技术商务得分。</w:t>
      </w:r>
    </w:p>
    <w:p>
      <w:pPr>
        <w:tabs>
          <w:tab w:val="left" w:pos="1260"/>
        </w:tabs>
        <w:ind w:firstLine="480" w:firstLineChars="200"/>
        <w:rPr>
          <w:rFonts w:ascii="宋体" w:hAnsi="宋体" w:cs="宋体"/>
          <w:sz w:val="24"/>
        </w:rPr>
      </w:pPr>
      <w:r>
        <w:rPr>
          <w:rFonts w:ascii="宋体" w:hAnsi="宋体" w:cs="宋体"/>
          <w:sz w:val="24"/>
        </w:rPr>
        <w:t>10.</w:t>
      </w:r>
      <w:r>
        <w:rPr>
          <w:rFonts w:hint="eastAsia" w:ascii="宋体" w:hAnsi="宋体" w:cs="宋体"/>
          <w:sz w:val="24"/>
        </w:rPr>
        <w:t>投标人所提供的设备必须是未使用过的全新产品，卖方需随设备装箱提供制造厂的设备检验、测试报告、设备检验合格证书、质量保证书和保修书等证明文件。</w:t>
      </w:r>
    </w:p>
    <w:p>
      <w:pPr>
        <w:tabs>
          <w:tab w:val="left" w:pos="1260"/>
        </w:tabs>
        <w:ind w:firstLine="480" w:firstLineChars="200"/>
        <w:rPr>
          <w:rFonts w:ascii="宋体" w:hAnsi="宋体" w:cs="宋体"/>
          <w:sz w:val="24"/>
        </w:rPr>
      </w:pPr>
      <w:r>
        <w:rPr>
          <w:rFonts w:ascii="宋体" w:hAnsi="宋体" w:cs="宋体"/>
          <w:sz w:val="24"/>
        </w:rPr>
        <w:t>11.</w:t>
      </w:r>
      <w:r>
        <w:rPr>
          <w:rFonts w:hint="eastAsia" w:ascii="宋体" w:hAnsi="宋体" w:cs="宋体"/>
          <w:sz w:val="24"/>
        </w:rPr>
        <w:t>投标人须在投标文件中填写《技术响应表》，当投标文件中技术参数与招标文件中技术参数有偏离时，须在“偏离”栏内如实注明是“正偏离”或“负偏离”，“正偏离”指投标设备的技术参数优于招标文件中要求，“负偏离”指投标设备的技术参数低于招标文件中要求。</w:t>
      </w:r>
    </w:p>
    <w:p>
      <w:pPr>
        <w:tabs>
          <w:tab w:val="left" w:pos="1260"/>
        </w:tabs>
        <w:ind w:firstLine="480" w:firstLineChars="20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投标人必须确保设备及所有配套件的完整性和可靠性。对于招标文件没有列出，而对该设备的正常运行和维护必不可少的部件、配件等，投标人有责任给予补充。</w:t>
      </w:r>
    </w:p>
    <w:p>
      <w:pPr>
        <w:tabs>
          <w:tab w:val="left" w:pos="1260"/>
        </w:tabs>
        <w:ind w:firstLine="482" w:firstLineChars="200"/>
        <w:rPr>
          <w:rFonts w:ascii="宋体" w:hAnsi="宋体" w:cs="宋体"/>
          <w:b/>
          <w:sz w:val="24"/>
        </w:rPr>
      </w:pPr>
    </w:p>
    <w:p>
      <w:pPr>
        <w:tabs>
          <w:tab w:val="left" w:pos="1260"/>
        </w:tabs>
        <w:ind w:firstLine="482" w:firstLineChars="200"/>
        <w:rPr>
          <w:rFonts w:ascii="宋体" w:hAnsi="宋体" w:cs="宋体"/>
          <w:b/>
          <w:sz w:val="24"/>
        </w:rPr>
      </w:pPr>
      <w:r>
        <w:rPr>
          <w:rFonts w:hint="eastAsia" w:ascii="宋体" w:hAnsi="宋体" w:cs="宋体"/>
          <w:b/>
          <w:sz w:val="24"/>
        </w:rPr>
        <w:t>三、技术参数及具体配置要求</w:t>
      </w:r>
    </w:p>
    <w:p>
      <w:pPr>
        <w:tabs>
          <w:tab w:val="left" w:pos="425"/>
          <w:tab w:val="left" w:pos="1260"/>
        </w:tabs>
        <w:ind w:firstLine="482" w:firstLineChars="200"/>
        <w:rPr>
          <w:rFonts w:ascii="宋体" w:hAnsi="宋体" w:cs="宋体"/>
          <w:b/>
          <w:kern w:val="0"/>
          <w:sz w:val="24"/>
        </w:rPr>
      </w:pPr>
      <w:r>
        <w:rPr>
          <w:rFonts w:hint="eastAsia" w:ascii="宋体" w:hAnsi="宋体" w:cs="宋体"/>
          <w:b/>
          <w:sz w:val="24"/>
        </w:rPr>
        <w:t>（一）</w:t>
      </w:r>
      <w:r>
        <w:rPr>
          <w:rFonts w:hint="eastAsia" w:ascii="宋体" w:hAnsi="宋体" w:cs="宋体"/>
          <w:b/>
          <w:kern w:val="0"/>
          <w:sz w:val="24"/>
        </w:rPr>
        <w:t>基本要求</w:t>
      </w:r>
    </w:p>
    <w:p>
      <w:pPr>
        <w:tabs>
          <w:tab w:val="left" w:pos="425"/>
          <w:tab w:val="left" w:pos="1260"/>
        </w:tabs>
        <w:ind w:firstLine="480" w:firstLineChars="200"/>
        <w:rPr>
          <w:rFonts w:ascii="宋体" w:hAnsi="宋体" w:cs="宋体"/>
          <w:sz w:val="24"/>
        </w:rPr>
      </w:pPr>
      <w:r>
        <w:rPr>
          <w:rFonts w:ascii="宋体" w:hAnsi="宋体" w:cs="宋体"/>
          <w:kern w:val="0"/>
          <w:sz w:val="24"/>
        </w:rPr>
        <w:t>1.</w:t>
      </w:r>
      <w:r>
        <w:rPr>
          <w:rFonts w:hint="eastAsia" w:ascii="宋体" w:hAnsi="宋体" w:cs="宋体"/>
          <w:sz w:val="24"/>
        </w:rPr>
        <w:t>所有投标人须提供投标主要产品（网络高清红外枪机、全景摄像机、室内半球型摄像机、黑光摄像机、网络磁盘阵列等）彩页及相应技术参数的厂家使用说明书作为技术证明文件，否则评标委员会有权视相应技术参数响应不符合招标要求！（如厂家的产品使用说明书为英文版，请同时提供中文版）。</w:t>
      </w:r>
    </w:p>
    <w:p>
      <w:pPr>
        <w:tabs>
          <w:tab w:val="left" w:pos="425"/>
          <w:tab w:val="left" w:pos="1260"/>
        </w:tabs>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投标人应提供已注册品牌制造商原装、全新的、符合国家及用户提出的有关质量标准的设备。设备在正确安装后，能确保在正常的使用过程中安全、可靠，并达到有关规定的要求。设备应符合中国政府颁布的产品、质量、技术、安全标准及环保标准。</w:t>
      </w:r>
    </w:p>
    <w:p>
      <w:pPr>
        <w:tabs>
          <w:tab w:val="left" w:pos="425"/>
          <w:tab w:val="left" w:pos="1260"/>
        </w:tabs>
        <w:ind w:firstLine="480" w:firstLineChars="20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为保证设备的稳定性和兼容性，要求关键产品（网络高清红外枪机、网络磁盘阵列等）必须为同一品牌的产品。</w:t>
      </w:r>
    </w:p>
    <w:p>
      <w:pPr>
        <w:tabs>
          <w:tab w:val="left" w:pos="425"/>
          <w:tab w:val="left" w:pos="1260"/>
        </w:tabs>
        <w:ind w:firstLine="480" w:firstLineChars="200"/>
        <w:rPr>
          <w:rFonts w:ascii="宋体" w:hAnsi="宋体" w:cs="宋体"/>
          <w:sz w:val="24"/>
        </w:rPr>
      </w:pPr>
      <w:r>
        <w:rPr>
          <w:rFonts w:ascii="宋体" w:hAnsi="宋体" w:cs="宋体"/>
          <w:sz w:val="24"/>
        </w:rPr>
        <w:t>4.</w:t>
      </w:r>
      <w:r>
        <w:rPr>
          <w:rFonts w:hint="eastAsia" w:ascii="宋体" w:hAnsi="宋体" w:cs="宋体"/>
          <w:sz w:val="24"/>
        </w:rPr>
        <w:t>为保证网络设备的稳定性和兼容性，要求交换机产品（包括24口汇聚交换机、24口POE接入层交换机、16口POE接入层交换机、5口POE接入层交换机）必须为同一品牌的产品。</w:t>
      </w:r>
    </w:p>
    <w:p>
      <w:pPr>
        <w:tabs>
          <w:tab w:val="left" w:pos="425"/>
          <w:tab w:val="left" w:pos="1260"/>
        </w:tabs>
        <w:ind w:firstLine="480" w:firstLineChars="200"/>
        <w:rPr>
          <w:rFonts w:ascii="宋体" w:hAnsi="宋体" w:cs="宋体"/>
          <w:sz w:val="24"/>
        </w:rPr>
      </w:pPr>
      <w:r>
        <w:rPr>
          <w:rFonts w:ascii="宋体" w:hAnsi="宋体" w:cs="宋体"/>
          <w:sz w:val="24"/>
        </w:rPr>
        <w:t>5.</w:t>
      </w:r>
      <w:r>
        <w:rPr>
          <w:rFonts w:hint="eastAsia" w:ascii="宋体" w:hAnsi="宋体" w:cs="宋体"/>
          <w:sz w:val="24"/>
        </w:rPr>
        <w:t>必须保证本项目相应设备，前端包括网络高清红外枪机、全景摄像机、室内半球型摄像机、防雷器和机柜等；项目中24口汇聚交换机、网络磁盘阵列等能与原有视频监控设备良好对接，系统实施基本不存在技术风险。签订合同后，中标单位需提供样机（包括高清网络视频摄像机、网络磁盘阵列）与以上设备进行对接测试。</w:t>
      </w:r>
    </w:p>
    <w:p>
      <w:pPr>
        <w:tabs>
          <w:tab w:val="left" w:pos="425"/>
          <w:tab w:val="left" w:pos="1260"/>
        </w:tabs>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所供设备必须为原厂正品，设备进场前提供相关证明材料。</w:t>
      </w:r>
    </w:p>
    <w:p>
      <w:pPr>
        <w:tabs>
          <w:tab w:val="left" w:pos="425"/>
          <w:tab w:val="left" w:pos="1260"/>
        </w:tabs>
        <w:ind w:firstLine="480" w:firstLineChars="200"/>
        <w:rPr>
          <w:rFonts w:ascii="宋体" w:hAnsi="宋体" w:cs="宋体"/>
          <w:sz w:val="24"/>
        </w:rPr>
      </w:pPr>
      <w:r>
        <w:rPr>
          <w:rFonts w:hint="eastAsia" w:ascii="宋体" w:hAnsi="宋体" w:cs="宋体"/>
          <w:sz w:val="24"/>
        </w:rPr>
        <w:t>7</w:t>
      </w:r>
      <w:r>
        <w:rPr>
          <w:rFonts w:ascii="宋体" w:hAnsi="宋体" w:cs="宋体"/>
          <w:sz w:val="24"/>
        </w:rPr>
        <w:t>.</w:t>
      </w:r>
      <w:r>
        <w:rPr>
          <w:rFonts w:hint="eastAsia" w:ascii="宋体" w:hAnsi="宋体" w:cs="宋体"/>
          <w:sz w:val="24"/>
        </w:rPr>
        <w:t>须提供10%易损设备（如前端摄像机、防雷器、稳压电源、传输设备等）做为备品备件。</w:t>
      </w:r>
    </w:p>
    <w:p>
      <w:pPr>
        <w:tabs>
          <w:tab w:val="left" w:pos="312"/>
          <w:tab w:val="left" w:pos="425"/>
          <w:tab w:val="left" w:pos="1260"/>
        </w:tabs>
        <w:ind w:firstLine="482" w:firstLineChars="200"/>
        <w:rPr>
          <w:rFonts w:ascii="宋体" w:hAnsi="宋体" w:cs="宋体"/>
          <w:b/>
          <w:kern w:val="0"/>
          <w:sz w:val="24"/>
        </w:rPr>
      </w:pPr>
      <w:r>
        <w:rPr>
          <w:rFonts w:hint="eastAsia" w:ascii="宋体" w:hAnsi="宋体" w:cs="宋体"/>
          <w:b/>
          <w:sz w:val="24"/>
        </w:rPr>
        <w:t>（二）</w:t>
      </w:r>
      <w:r>
        <w:rPr>
          <w:rFonts w:hint="eastAsia" w:ascii="宋体" w:hAnsi="宋体" w:cs="宋体"/>
          <w:b/>
          <w:kern w:val="0"/>
          <w:sz w:val="24"/>
        </w:rPr>
        <w:t>工程和设备要求</w:t>
      </w:r>
    </w:p>
    <w:p>
      <w:pPr>
        <w:tabs>
          <w:tab w:val="left" w:pos="312"/>
          <w:tab w:val="left" w:pos="425"/>
          <w:tab w:val="left" w:pos="1260"/>
        </w:tabs>
        <w:ind w:firstLine="480" w:firstLineChars="200"/>
        <w:rPr>
          <w:rFonts w:ascii="宋体" w:hAnsi="宋体" w:cs="宋体"/>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sz w:val="24"/>
        </w:rPr>
        <w:t>在监控前端布点设计上，充分考虑建筑物布局的影响，在图书馆内点减少监控盲点。</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对采购人的监控布点设计提出合理化建议，争取实现图书馆主要区域、人流量大区域等的视频监控全覆盖。</w:t>
      </w:r>
    </w:p>
    <w:p>
      <w:pPr>
        <w:tabs>
          <w:tab w:val="left" w:pos="312"/>
          <w:tab w:val="left" w:pos="425"/>
          <w:tab w:val="left" w:pos="1260"/>
        </w:tabs>
        <w:ind w:firstLine="482" w:firstLineChars="200"/>
        <w:rPr>
          <w:rFonts w:ascii="宋体" w:hAnsi="宋体" w:cs="宋体"/>
          <w:b/>
          <w:sz w:val="24"/>
        </w:rPr>
      </w:pPr>
      <w:r>
        <w:rPr>
          <w:rFonts w:hint="eastAsia" w:ascii="宋体" w:hAnsi="宋体" w:cs="宋体"/>
          <w:b/>
          <w:sz w:val="24"/>
        </w:rPr>
        <w:t>（三）建设内容</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图书馆视频监控建设项目经费预算3</w:t>
      </w:r>
      <w:r>
        <w:rPr>
          <w:rFonts w:ascii="宋体" w:hAnsi="宋体" w:cs="宋体"/>
          <w:sz w:val="24"/>
        </w:rPr>
        <w:t>0</w:t>
      </w:r>
      <w:r>
        <w:rPr>
          <w:rFonts w:hint="eastAsia" w:ascii="宋体" w:hAnsi="宋体" w:cs="宋体"/>
          <w:sz w:val="24"/>
        </w:rPr>
        <w:t>万元，新建视频监控</w:t>
      </w:r>
      <w:r>
        <w:rPr>
          <w:rFonts w:ascii="宋体" w:hAnsi="宋体" w:cs="宋体"/>
          <w:sz w:val="24"/>
        </w:rPr>
        <w:t>64</w:t>
      </w:r>
      <w:r>
        <w:rPr>
          <w:rFonts w:hint="eastAsia" w:ascii="宋体" w:hAnsi="宋体" w:cs="宋体"/>
          <w:sz w:val="24"/>
        </w:rPr>
        <w:t>个，包括：</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图书馆门前广场安装夜视高清球机1个，对广场的大范围进行监控，同时支持放大特写，对环境中重点部位进行放大显示，能清晰洞察实况。图书馆本广场各部署高清红外网络摄像机</w:t>
      </w:r>
      <w:r>
        <w:rPr>
          <w:rFonts w:ascii="宋体" w:hAnsi="宋体" w:cs="宋体"/>
          <w:sz w:val="24"/>
        </w:rPr>
        <w:t>1</w:t>
      </w:r>
      <w:r>
        <w:rPr>
          <w:rFonts w:hint="eastAsia" w:ascii="宋体" w:hAnsi="宋体" w:cs="宋体"/>
          <w:sz w:val="24"/>
        </w:rPr>
        <w:t>个，对广场进行全天候监控</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在图书馆一楼进入地下车库的通道上安装高清红外网络摄像机</w:t>
      </w:r>
      <w:r>
        <w:rPr>
          <w:rFonts w:ascii="宋体" w:hAnsi="宋体" w:cs="宋体"/>
          <w:sz w:val="24"/>
        </w:rPr>
        <w:t>1</w:t>
      </w:r>
      <w:r>
        <w:rPr>
          <w:rFonts w:hint="eastAsia" w:ascii="宋体" w:hAnsi="宋体" w:cs="宋体"/>
          <w:sz w:val="24"/>
        </w:rPr>
        <w:t>个，对进行停车场的车辆视频信号进行存储。</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在图书馆负一楼到五楼公共区域和主要通道、楼梯口部署高清红外网络摄像机</w:t>
      </w:r>
      <w:r>
        <w:rPr>
          <w:rFonts w:ascii="宋体" w:hAnsi="宋体" w:cs="宋体"/>
          <w:sz w:val="24"/>
        </w:rPr>
        <w:t>63</w:t>
      </w:r>
      <w:r>
        <w:rPr>
          <w:rFonts w:hint="eastAsia" w:ascii="宋体" w:hAnsi="宋体" w:cs="宋体"/>
          <w:sz w:val="24"/>
        </w:rPr>
        <w:t>个，对该部位进行全天候监控。</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为前述视频监控末端建设相应的传输链路及存储系统，并归并于学校已建设的视频监控系统内。</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5</w:t>
      </w:r>
      <w:r>
        <w:rPr>
          <w:rFonts w:ascii="宋体" w:hAnsi="宋体" w:cs="宋体"/>
          <w:sz w:val="24"/>
        </w:rPr>
        <w:t>.投标单位</w:t>
      </w:r>
      <w:r>
        <w:rPr>
          <w:rFonts w:hint="eastAsia" w:ascii="宋体" w:hAnsi="宋体" w:cs="宋体"/>
          <w:sz w:val="24"/>
        </w:rPr>
        <w:t>投标时</w:t>
      </w:r>
      <w:r>
        <w:rPr>
          <w:rFonts w:ascii="宋体" w:hAnsi="宋体" w:cs="宋体"/>
          <w:sz w:val="24"/>
        </w:rPr>
        <w:t>需对</w:t>
      </w:r>
      <w:r>
        <w:rPr>
          <w:rFonts w:hint="eastAsia" w:ascii="宋体" w:hAnsi="宋体" w:cs="宋体"/>
          <w:sz w:val="24"/>
        </w:rPr>
        <w:t>本</w:t>
      </w:r>
      <w:r>
        <w:rPr>
          <w:rFonts w:ascii="宋体" w:hAnsi="宋体" w:cs="宋体"/>
          <w:sz w:val="24"/>
        </w:rPr>
        <w:t>建设方案进行优化</w:t>
      </w:r>
      <w:r>
        <w:rPr>
          <w:rFonts w:hint="eastAsia" w:ascii="宋体" w:hAnsi="宋体" w:cs="宋体"/>
          <w:sz w:val="24"/>
        </w:rPr>
        <w:t>并提供优化后的建设方案。项目实施前，投标单位必须对投标建设方案进行具体化，并提供实施方案的施工图纸，在采购单位审核同意后方予实施。</w:t>
      </w:r>
    </w:p>
    <w:p>
      <w:pPr>
        <w:tabs>
          <w:tab w:val="left" w:pos="312"/>
          <w:tab w:val="left" w:pos="425"/>
          <w:tab w:val="left" w:pos="1260"/>
        </w:tabs>
        <w:ind w:firstLine="482" w:firstLineChars="200"/>
        <w:rPr>
          <w:rFonts w:ascii="宋体" w:hAnsi="宋体" w:cs="宋体"/>
          <w:b/>
          <w:sz w:val="24"/>
        </w:rPr>
      </w:pPr>
      <w:r>
        <w:rPr>
          <w:rFonts w:hint="eastAsia" w:ascii="宋体" w:hAnsi="宋体" w:cs="宋体"/>
          <w:b/>
          <w:sz w:val="24"/>
        </w:rPr>
        <w:t>（四）计划中视频监控分布</w:t>
      </w:r>
    </w:p>
    <w:tbl>
      <w:tblPr>
        <w:tblStyle w:val="17"/>
        <w:tblW w:w="9996" w:type="dxa"/>
        <w:tblInd w:w="-856" w:type="dxa"/>
        <w:tblLayout w:type="autofit"/>
        <w:tblCellMar>
          <w:top w:w="0" w:type="dxa"/>
          <w:left w:w="108" w:type="dxa"/>
          <w:bottom w:w="0" w:type="dxa"/>
          <w:right w:w="108" w:type="dxa"/>
        </w:tblCellMar>
      </w:tblPr>
      <w:tblGrid>
        <w:gridCol w:w="567"/>
        <w:gridCol w:w="1345"/>
        <w:gridCol w:w="2410"/>
        <w:gridCol w:w="1348"/>
        <w:gridCol w:w="1349"/>
        <w:gridCol w:w="567"/>
        <w:gridCol w:w="708"/>
        <w:gridCol w:w="851"/>
        <w:gridCol w:w="851"/>
      </w:tblGrid>
      <w:tr>
        <w:tblPrEx>
          <w:tblCellMar>
            <w:top w:w="0" w:type="dxa"/>
            <w:left w:w="108" w:type="dxa"/>
            <w:bottom w:w="0" w:type="dxa"/>
            <w:right w:w="108" w:type="dxa"/>
          </w:tblCellMar>
        </w:tblPrEx>
        <w:trPr>
          <w:trHeight w:val="6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kern w:val="0"/>
                <w:sz w:val="22"/>
                <w:szCs w:val="22"/>
              </w:rPr>
            </w:pPr>
            <w:r>
              <w:rPr>
                <w:rFonts w:hint="eastAsia" w:ascii="宋体" w:hAnsi="宋体" w:cs="宋体"/>
                <w:b/>
                <w:bCs/>
                <w:kern w:val="0"/>
                <w:sz w:val="22"/>
                <w:szCs w:val="22"/>
              </w:rPr>
              <w:t>序号</w:t>
            </w:r>
          </w:p>
        </w:tc>
        <w:tc>
          <w:tcPr>
            <w:tcW w:w="13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kern w:val="0"/>
                <w:sz w:val="22"/>
                <w:szCs w:val="22"/>
              </w:rPr>
            </w:pPr>
            <w:r>
              <w:rPr>
                <w:rFonts w:hint="eastAsia" w:ascii="宋体" w:hAnsi="宋体" w:cs="宋体"/>
                <w:b/>
                <w:bCs/>
                <w:kern w:val="0"/>
                <w:sz w:val="22"/>
                <w:szCs w:val="22"/>
              </w:rPr>
              <w:t>安装位置</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kern w:val="0"/>
                <w:sz w:val="22"/>
                <w:szCs w:val="22"/>
              </w:rPr>
            </w:pPr>
            <w:r>
              <w:rPr>
                <w:rFonts w:hint="eastAsia" w:ascii="宋体" w:hAnsi="宋体" w:cs="宋体"/>
                <w:b/>
                <w:bCs/>
                <w:kern w:val="0"/>
                <w:sz w:val="22"/>
                <w:szCs w:val="22"/>
              </w:rPr>
              <w:t>覆盖范围</w:t>
            </w:r>
          </w:p>
        </w:tc>
        <w:tc>
          <w:tcPr>
            <w:tcW w:w="134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kern w:val="0"/>
                <w:sz w:val="22"/>
                <w:szCs w:val="22"/>
              </w:rPr>
            </w:pPr>
            <w:r>
              <w:rPr>
                <w:rFonts w:hint="eastAsia" w:ascii="宋体" w:hAnsi="宋体" w:cs="宋体"/>
                <w:b/>
                <w:bCs/>
                <w:kern w:val="0"/>
                <w:sz w:val="22"/>
                <w:szCs w:val="22"/>
              </w:rPr>
              <w:t>设备类型</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kern w:val="0"/>
                <w:sz w:val="22"/>
                <w:szCs w:val="22"/>
              </w:rPr>
            </w:pPr>
            <w:r>
              <w:rPr>
                <w:rFonts w:hint="eastAsia" w:ascii="宋体" w:hAnsi="宋体" w:cs="宋体"/>
                <w:b/>
                <w:bCs/>
                <w:kern w:val="0"/>
                <w:sz w:val="22"/>
                <w:szCs w:val="22"/>
              </w:rPr>
              <w:t>安装点位说明</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kern w:val="0"/>
                <w:sz w:val="22"/>
                <w:szCs w:val="22"/>
              </w:rPr>
            </w:pPr>
            <w:r>
              <w:rPr>
                <w:rFonts w:hint="eastAsia" w:ascii="宋体" w:hAnsi="宋体" w:cs="宋体"/>
                <w:b/>
                <w:bCs/>
                <w:kern w:val="0"/>
                <w:sz w:val="22"/>
                <w:szCs w:val="22"/>
              </w:rPr>
              <w:t>数量</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kern w:val="0"/>
                <w:sz w:val="22"/>
                <w:szCs w:val="22"/>
              </w:rPr>
            </w:pPr>
            <w:r>
              <w:rPr>
                <w:rFonts w:hint="eastAsia" w:ascii="宋体" w:hAnsi="宋体" w:cs="宋体"/>
                <w:b/>
                <w:bCs/>
                <w:kern w:val="0"/>
                <w:sz w:val="22"/>
                <w:szCs w:val="22"/>
              </w:rPr>
              <w:t>镜头mm</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kern w:val="0"/>
                <w:sz w:val="22"/>
                <w:szCs w:val="22"/>
              </w:rPr>
            </w:pPr>
            <w:r>
              <w:rPr>
                <w:rFonts w:hint="eastAsia" w:ascii="宋体" w:hAnsi="宋体" w:cs="宋体"/>
                <w:b/>
                <w:bCs/>
                <w:kern w:val="0"/>
                <w:sz w:val="22"/>
                <w:szCs w:val="22"/>
              </w:rPr>
              <w:t>安装方式</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kern w:val="0"/>
                <w:sz w:val="22"/>
                <w:szCs w:val="22"/>
              </w:rPr>
            </w:pPr>
            <w:r>
              <w:rPr>
                <w:rFonts w:hint="eastAsia" w:ascii="宋体" w:hAnsi="宋体" w:cs="宋体"/>
                <w:b/>
                <w:bCs/>
                <w:kern w:val="0"/>
                <w:sz w:val="22"/>
                <w:szCs w:val="22"/>
              </w:rPr>
              <w:t>备注</w:t>
            </w:r>
          </w:p>
        </w:tc>
      </w:tr>
      <w:tr>
        <w:tblPrEx>
          <w:tblCellMar>
            <w:top w:w="0" w:type="dxa"/>
            <w:left w:w="108" w:type="dxa"/>
            <w:bottom w:w="0" w:type="dxa"/>
            <w:right w:w="108" w:type="dxa"/>
          </w:tblCellMar>
        </w:tblPrEx>
        <w:trPr>
          <w:trHeight w:val="52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1345"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图书馆门口外</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图书馆门口外</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高清红外球机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校园主干道及交叉口</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立杆</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2</w:t>
            </w:r>
          </w:p>
        </w:tc>
        <w:tc>
          <w:tcPr>
            <w:tcW w:w="1345"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图书馆地下停车场出入口</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图书馆地下停车入口</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地下室入口</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3</w:t>
            </w:r>
          </w:p>
        </w:tc>
        <w:tc>
          <w:tcPr>
            <w:tcW w:w="134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图书馆前座一层东阅读区</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图书馆前座一层东阅读区</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1345"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图书馆前座一层东阅读区安全出口走廊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5</w:t>
            </w:r>
          </w:p>
        </w:tc>
        <w:tc>
          <w:tcPr>
            <w:tcW w:w="1345"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图书馆一层东楼梯走廊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134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图书馆前座一层西阅读区</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图书馆前座一层西阅读区</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7</w:t>
            </w:r>
          </w:p>
        </w:tc>
        <w:tc>
          <w:tcPr>
            <w:tcW w:w="1345"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图书馆前座一层西阅读区安全出口走廊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8</w:t>
            </w:r>
          </w:p>
        </w:tc>
        <w:tc>
          <w:tcPr>
            <w:tcW w:w="1345"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图书馆一层西楼梯走廊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9</w:t>
            </w:r>
          </w:p>
        </w:tc>
        <w:tc>
          <w:tcPr>
            <w:tcW w:w="134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图书馆一层中间楼梯口</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图书馆一层中间楼梯口向东南通道范围</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10</w:t>
            </w:r>
          </w:p>
        </w:tc>
        <w:tc>
          <w:tcPr>
            <w:tcW w:w="1345"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图书馆一层中间东梯口向电梯口范围</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11</w:t>
            </w:r>
          </w:p>
        </w:tc>
        <w:tc>
          <w:tcPr>
            <w:tcW w:w="1345"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图书馆一层学术交流大厅</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图书馆一层学术交流大厅向东南公共区域范围</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12</w:t>
            </w:r>
          </w:p>
        </w:tc>
        <w:tc>
          <w:tcPr>
            <w:tcW w:w="134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图书馆一层后座阅览室</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图书馆一层后座阅览室向东南范围</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13</w:t>
            </w:r>
          </w:p>
        </w:tc>
        <w:tc>
          <w:tcPr>
            <w:tcW w:w="1345"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图书馆一层后座阅览室向西南范围</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14</w:t>
            </w:r>
          </w:p>
        </w:tc>
        <w:tc>
          <w:tcPr>
            <w:tcW w:w="1345"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图书馆一层后座阅览室向东北范围</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15</w:t>
            </w:r>
          </w:p>
        </w:tc>
        <w:tc>
          <w:tcPr>
            <w:tcW w:w="1345"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图书馆一层后座阅览室向西北范围</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16</w:t>
            </w:r>
          </w:p>
        </w:tc>
        <w:tc>
          <w:tcPr>
            <w:tcW w:w="13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图书馆前座二层东阅读区</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图书馆前座二层东阅读区向东</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17</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图书馆前座二层东阅读区中入口向西走廊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20</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图书馆二层东楼梯走廊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21</w:t>
            </w:r>
          </w:p>
        </w:tc>
        <w:tc>
          <w:tcPr>
            <w:tcW w:w="13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图书馆前座二层西阅读区</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图书馆前座二层西阅读区入口后向西</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22</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图书馆前座二层西阅读区儿童阅览区向南走廊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23</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图书馆二层西楼梯走廊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24</w:t>
            </w:r>
          </w:p>
        </w:tc>
        <w:tc>
          <w:tcPr>
            <w:tcW w:w="134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图书馆二层中间楼梯口</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图书馆二层中间楼梯口向东南通道范围</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25</w:t>
            </w:r>
          </w:p>
        </w:tc>
        <w:tc>
          <w:tcPr>
            <w:tcW w:w="1345"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图书馆二层中间东梯口向电梯口范围</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18</w:t>
            </w:r>
          </w:p>
        </w:tc>
        <w:tc>
          <w:tcPr>
            <w:tcW w:w="13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图书馆后座二层</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图书馆后座二层向入口即向北</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19</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图书馆后座二层向西阅读区</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26</w:t>
            </w:r>
          </w:p>
        </w:tc>
        <w:tc>
          <w:tcPr>
            <w:tcW w:w="13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图书馆前座三层阅览室</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图书馆前座三层阅览室（东侧）居右向东阅读区域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27</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图书馆前座三层阅览室（东侧）居中向东阅读区域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28</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图书馆前座三层阅览室（东侧）居左向东阅读区域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29</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图书馆前座三层阅览室（西侧）居左向西阅读区域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30</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图书馆前座三层阅览室（西侧）居中向西阅读区域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31</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图书馆前座三层阅览室（西侧）居右向西阅读区域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32</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图书馆前座三层层东楼梯走廊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33</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图书馆前座三层层西楼梯走廊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34</w:t>
            </w:r>
          </w:p>
        </w:tc>
        <w:tc>
          <w:tcPr>
            <w:tcW w:w="134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图书馆三层中间楼梯口</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图书馆三层中间楼梯口向东南通道范围</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35</w:t>
            </w:r>
          </w:p>
        </w:tc>
        <w:tc>
          <w:tcPr>
            <w:tcW w:w="1345"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图书馆三层中间东梯口向电梯口范围</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36</w:t>
            </w:r>
          </w:p>
        </w:tc>
        <w:tc>
          <w:tcPr>
            <w:tcW w:w="13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图书馆后座三层</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图书馆后座三层东南角向西北阅览区</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37</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图书馆后座三层东北角向西南阅览区</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38</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图书馆后座三层西北角向东南阅览区</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39</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图书馆后座三层西北角向南阅览区</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40</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图书馆后座三层西南角向北阅览区</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41</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图书馆后座三层西南角向东北阅览区</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42</w:t>
            </w:r>
          </w:p>
        </w:tc>
        <w:tc>
          <w:tcPr>
            <w:tcW w:w="13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图书馆前座四层阅览室</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图书馆前座四层阅览室（东侧）居右向东阅读区域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43</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图书馆前座四层阅览室（东侧）居中向东阅读区域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44</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图书馆前座四层阅览室（东侧）居左向东阅读区域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45</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图书馆前座四层阅览室（西侧）居左向西阅读区域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46</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图书馆前座四层阅览室（西侧）居中向西阅读区域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47</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图书馆前座四层阅览室（西侧）居右向西阅读区域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48</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图书馆前座四层层东楼梯走廊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49</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图书馆前座四层层西楼梯走廊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50</w:t>
            </w:r>
          </w:p>
        </w:tc>
        <w:tc>
          <w:tcPr>
            <w:tcW w:w="13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图书馆四层中间楼梯口</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图书馆四层中间楼梯口向东南通道范围</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51</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图书馆四层中间东梯口向电梯口范围</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52</w:t>
            </w:r>
          </w:p>
        </w:tc>
        <w:tc>
          <w:tcPr>
            <w:tcW w:w="13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图书馆后座四层</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图书馆后座四层东侧居中向西走廊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53</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图书馆后座四层东南角向入口</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54</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图书馆后座四层南侧居中向北走廊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55</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图书馆后座四层南侧居中向西北走廊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56</w:t>
            </w:r>
          </w:p>
        </w:tc>
        <w:tc>
          <w:tcPr>
            <w:tcW w:w="13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图书馆前座五层阅览室</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图书馆前座五层阅览室（东侧）居右向东阅读区域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57</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图书馆前座五层阅览室（东侧）居中向东阅读区域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58</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图书馆前座五层阅览室（东侧）居左向东阅读区域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59</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图书馆前座五层阅览室（西侧）居左向西阅读区域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60</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图书馆前座五层阅览室（西侧）居中向西阅读区域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61</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图书馆前座五层阅览室（西侧）居右向西阅读区域</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62</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图书馆前座五层层东楼梯走廊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63</w:t>
            </w:r>
          </w:p>
        </w:tc>
        <w:tc>
          <w:tcPr>
            <w:tcW w:w="1345"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宋体" w:hAnsi="宋体" w:cs="宋体"/>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图书馆前座五层层西楼梯走廊</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64</w:t>
            </w:r>
          </w:p>
        </w:tc>
        <w:tc>
          <w:tcPr>
            <w:tcW w:w="1345"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图书馆五层中间楼梯口</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图书馆五层中间东梯口向电梯口范围</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高清红外枪机</w:t>
            </w:r>
          </w:p>
        </w:tc>
        <w:tc>
          <w:tcPr>
            <w:tcW w:w="1349"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图书馆主通道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壁装</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kern w:val="0"/>
                <w:sz w:val="18"/>
                <w:szCs w:val="18"/>
              </w:rPr>
            </w:pPr>
            <w:r>
              <w:rPr>
                <w:rFonts w:hint="eastAsia" w:ascii="宋体" w:hAnsi="宋体" w:cs="宋体"/>
                <w:kern w:val="0"/>
                <w:sz w:val="18"/>
                <w:szCs w:val="18"/>
              </w:rPr>
              <w:t>　</w:t>
            </w:r>
          </w:p>
        </w:tc>
      </w:tr>
    </w:tbl>
    <w:p>
      <w:pPr>
        <w:tabs>
          <w:tab w:val="left" w:pos="312"/>
          <w:tab w:val="left" w:pos="425"/>
          <w:tab w:val="left" w:pos="1260"/>
        </w:tabs>
        <w:ind w:firstLine="482" w:firstLineChars="200"/>
        <w:rPr>
          <w:rFonts w:ascii="宋体" w:hAnsi="宋体" w:cs="宋体"/>
          <w:b/>
          <w:sz w:val="24"/>
        </w:rPr>
      </w:pPr>
    </w:p>
    <w:p>
      <w:pPr>
        <w:tabs>
          <w:tab w:val="left" w:pos="312"/>
          <w:tab w:val="left" w:pos="425"/>
          <w:tab w:val="left" w:pos="1260"/>
        </w:tabs>
        <w:ind w:firstLine="482" w:firstLineChars="200"/>
        <w:rPr>
          <w:rFonts w:ascii="宋体" w:hAnsi="宋体" w:cs="宋体"/>
          <w:b/>
          <w:sz w:val="24"/>
        </w:rPr>
      </w:pPr>
      <w:r>
        <w:rPr>
          <w:rFonts w:hint="eastAsia" w:ascii="宋体" w:hAnsi="宋体" w:cs="宋体"/>
          <w:b/>
          <w:sz w:val="24"/>
        </w:rPr>
        <w:t>（五）货物设备采购清单</w:t>
      </w:r>
    </w:p>
    <w:tbl>
      <w:tblPr>
        <w:tblStyle w:val="17"/>
        <w:tblW w:w="10502" w:type="dxa"/>
        <w:tblInd w:w="-998" w:type="dxa"/>
        <w:tblLayout w:type="autofit"/>
        <w:tblCellMar>
          <w:top w:w="0" w:type="dxa"/>
          <w:left w:w="108" w:type="dxa"/>
          <w:bottom w:w="0" w:type="dxa"/>
          <w:right w:w="108" w:type="dxa"/>
        </w:tblCellMar>
      </w:tblPr>
      <w:tblGrid>
        <w:gridCol w:w="600"/>
        <w:gridCol w:w="1527"/>
        <w:gridCol w:w="709"/>
        <w:gridCol w:w="709"/>
        <w:gridCol w:w="6945"/>
        <w:gridCol w:w="12"/>
      </w:tblGrid>
      <w:tr>
        <w:tblPrEx>
          <w:tblCellMar>
            <w:top w:w="0" w:type="dxa"/>
            <w:left w:w="108" w:type="dxa"/>
            <w:bottom w:w="0" w:type="dxa"/>
            <w:right w:w="108" w:type="dxa"/>
          </w:tblCellMar>
        </w:tblPrEx>
        <w:trPr>
          <w:gridAfter w:val="1"/>
          <w:wAfter w:w="12" w:type="dxa"/>
          <w:trHeight w:val="33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21"/>
              </w:rPr>
            </w:pPr>
            <w:r>
              <w:rPr>
                <w:rFonts w:hint="eastAsia" w:cs="宋体" w:asciiTheme="minorEastAsia" w:hAnsiTheme="minorEastAsia" w:eastAsiaTheme="minorEastAsia"/>
                <w:b/>
                <w:bCs/>
                <w:kern w:val="0"/>
                <w:sz w:val="21"/>
              </w:rPr>
              <w:t>序号</w:t>
            </w:r>
          </w:p>
        </w:tc>
        <w:tc>
          <w:tcPr>
            <w:tcW w:w="152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21"/>
              </w:rPr>
            </w:pPr>
            <w:r>
              <w:rPr>
                <w:rFonts w:hint="eastAsia" w:cs="宋体" w:asciiTheme="minorEastAsia" w:hAnsiTheme="minorEastAsia" w:eastAsiaTheme="minorEastAsia"/>
                <w:b/>
                <w:bCs/>
                <w:kern w:val="0"/>
                <w:sz w:val="21"/>
              </w:rPr>
              <w:t>分项设备名称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21"/>
              </w:rPr>
            </w:pPr>
            <w:r>
              <w:rPr>
                <w:rFonts w:hint="eastAsia" w:cs="宋体" w:asciiTheme="minorEastAsia" w:hAnsiTheme="minorEastAsia" w:eastAsiaTheme="minorEastAsia"/>
                <w:b/>
                <w:bCs/>
                <w:kern w:val="0"/>
                <w:sz w:val="21"/>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21"/>
              </w:rPr>
            </w:pPr>
            <w:r>
              <w:rPr>
                <w:rFonts w:hint="eastAsia" w:cs="宋体" w:asciiTheme="minorEastAsia" w:hAnsiTheme="minorEastAsia" w:eastAsiaTheme="minorEastAsia"/>
                <w:b/>
                <w:bCs/>
                <w:kern w:val="0"/>
                <w:sz w:val="21"/>
              </w:rPr>
              <w:t>数量</w:t>
            </w:r>
          </w:p>
        </w:tc>
        <w:tc>
          <w:tcPr>
            <w:tcW w:w="6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21"/>
              </w:rPr>
            </w:pPr>
            <w:r>
              <w:rPr>
                <w:rFonts w:hint="eastAsia" w:cs="宋体" w:asciiTheme="minorEastAsia" w:hAnsiTheme="minorEastAsia" w:eastAsiaTheme="minorEastAsia"/>
                <w:b/>
                <w:bCs/>
                <w:kern w:val="0"/>
                <w:sz w:val="21"/>
              </w:rPr>
              <w:t>技术参数</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高清红外摄像机</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支</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cs="宋体" w:asciiTheme="minorEastAsia" w:hAnsiTheme="minorEastAsia" w:eastAsiaTheme="minorEastAsia"/>
                <w:kern w:val="0"/>
                <w:sz w:val="21"/>
              </w:rPr>
              <w:t>63</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1.具有400万像素CMOS传感器。最大分辨率2560x1440。</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2.最低照度彩色：0.001lx，黑白：0.0001lx，灰度等级不小于11级。（公安部型式检验报告证明）</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3.红外补光距离不小于30米。</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4.需支持三码流技术，可同时输出三路码流，主码流最高2560x1440@30fps，第三码流最大2560x1440@30fps，子码流704x576@30fps。</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5.支持H.264、H.265、MJPEG视频编码格式，且具有HighProfile编码能力。</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6.需具有黑白名单功能，其中白名单可添加不小于10个IP地址。（公安部型式检验报告证明）</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7.需具备人脸检测、区域入侵检测、越界检测、虚焦检测、进入区域、离开区域、徘徊、人员聚集、逆行、场景变更等功能。（公安部型式检验报告证明）</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8.可开启或关闭智能后检索功能。（公安部型式检验报告证明）</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9.不低于IP67防尘防水等级。</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10.★同一静止场景相同图像质量下，设备在H.265编码方式时，开启智能编码功能和不开启智能编码相比，码率节约1/2。（公安部型式检验报告证明）</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11.提供公安部型型式检验报告复印件。</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r>
              <w:rPr>
                <w:rFonts w:cs="宋体" w:asciiTheme="minorEastAsia" w:hAnsiTheme="minorEastAsia" w:eastAsiaTheme="minorEastAsia"/>
                <w:kern w:val="0"/>
                <w:sz w:val="21"/>
              </w:rPr>
              <w:t>2.</w:t>
            </w:r>
            <w:r>
              <w:rPr>
                <w:rFonts w:hint="eastAsia" w:cs="宋体" w:asciiTheme="minorEastAsia" w:hAnsiTheme="minorEastAsia" w:eastAsiaTheme="minorEastAsia"/>
                <w:kern w:val="0"/>
                <w:sz w:val="21"/>
              </w:rPr>
              <w:t>产品品牌限海康威视，型号DS-2CD2T2XYZUV-ABCDEF，以与现有监控系统对接。</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室外球机</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支</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1.具有300万像素CMOS传感器，2048×1536@30fps；.05Lux/F1.6(彩色),0.01Lux/F1.6(黑白) ,0 Lux with IR；</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2.150米红外照射距离；焦距：4.7-94mm。</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3.20倍光学；支持音频、报警；支持宽动态、透雾、强光抑制、Smart IR、3D数字降噪 ；</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4.具备区域入侵侦测、越界侦测、音频异常侦测、移动侦测功能；</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5.水平键控速度最大160°/s，垂直键控速</w:t>
            </w:r>
          </w:p>
          <w:p>
            <w:pPr>
              <w:widowControl/>
              <w:spacing w:line="240" w:lineRule="auto"/>
              <w:rPr>
                <w:rFonts w:cs="宋体" w:asciiTheme="minorEastAsia" w:hAnsiTheme="minorEastAsia" w:eastAsiaTheme="minorEastAsia"/>
                <w:kern w:val="0"/>
                <w:sz w:val="21"/>
              </w:rPr>
            </w:pPr>
          </w:p>
          <w:p>
            <w:pPr>
              <w:widowControl/>
              <w:spacing w:line="240" w:lineRule="auto"/>
              <w:rPr>
                <w:rFonts w:cs="宋体" w:asciiTheme="minorEastAsia" w:hAnsiTheme="minorEastAsia" w:eastAsiaTheme="minorEastAsia"/>
                <w:kern w:val="0"/>
                <w:sz w:val="21"/>
              </w:rPr>
            </w:pP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度最大120°/s，垂直范围-15°~90°；H.265/H.264/MJPEG；最大支持256GB Micro SD卡；</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6.提供公安部型型式检验报告复印件。</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7</w:t>
            </w:r>
            <w:r>
              <w:rPr>
                <w:rFonts w:cs="宋体" w:asciiTheme="minorEastAsia" w:hAnsiTheme="minorEastAsia" w:eastAsiaTheme="minorEastAsia"/>
                <w:kern w:val="0"/>
                <w:sz w:val="21"/>
              </w:rPr>
              <w:t>.</w:t>
            </w:r>
            <w:r>
              <w:rPr>
                <w:rFonts w:hint="eastAsia" w:cs="宋体" w:asciiTheme="minorEastAsia" w:hAnsiTheme="minorEastAsia" w:eastAsiaTheme="minorEastAsia"/>
                <w:kern w:val="0"/>
                <w:sz w:val="21"/>
              </w:rPr>
              <w:t>产品品牌限海康威视，型号DS-2DF82ABCDW-XYZ/VWS，以与现有监控系统对接。</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摄像机支架</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color w:val="000000" w:themeColor="text1"/>
                <w:kern w:val="0"/>
                <w:sz w:val="21"/>
              </w:rPr>
            </w:pPr>
            <w:r>
              <w:rPr>
                <w:rFonts w:cs="宋体" w:asciiTheme="minorEastAsia" w:hAnsiTheme="minorEastAsia" w:eastAsiaTheme="minorEastAsia"/>
                <w:color w:val="000000" w:themeColor="text1"/>
                <w:kern w:val="0"/>
                <w:sz w:val="21"/>
              </w:rPr>
              <w:t>63</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原厂标配壁装支架，DS-1292ZJ</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4</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球机支架</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color w:val="000000" w:themeColor="text1"/>
                <w:kern w:val="0"/>
                <w:sz w:val="21"/>
              </w:rPr>
            </w:pPr>
            <w:r>
              <w:rPr>
                <w:rFonts w:cs="宋体" w:asciiTheme="minorEastAsia" w:hAnsiTheme="minorEastAsia" w:eastAsiaTheme="minorEastAsia"/>
                <w:color w:val="000000" w:themeColor="text1"/>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原厂标配吊装支架，DS-1602ZJ</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5</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摄像机电源</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color w:val="000000" w:themeColor="text1"/>
                <w:kern w:val="0"/>
                <w:sz w:val="21"/>
              </w:rPr>
            </w:pPr>
            <w:r>
              <w:rPr>
                <w:rFonts w:cs="宋体" w:asciiTheme="minorEastAsia" w:hAnsiTheme="minorEastAsia" w:eastAsiaTheme="minorEastAsia"/>
                <w:color w:val="000000" w:themeColor="text1"/>
                <w:kern w:val="0"/>
                <w:sz w:val="21"/>
              </w:rPr>
              <w:t>63</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bookmarkStart w:id="0" w:name="OLE_LINK13"/>
            <w:bookmarkStart w:id="1" w:name="OLE_LINK14"/>
            <w:bookmarkStart w:id="2" w:name="OLE_LINK15"/>
            <w:bookmarkStart w:id="3" w:name="OLE_LINK17"/>
            <w:bookmarkStart w:id="4" w:name="OLE_LINK16"/>
            <w:bookmarkStart w:id="5" w:name="OLE_LINK19"/>
            <w:bookmarkStart w:id="6" w:name="OLE_LINK18"/>
            <w:r>
              <w:rPr>
                <w:rFonts w:hint="eastAsia" w:cs="宋体" w:asciiTheme="minorEastAsia" w:hAnsiTheme="minorEastAsia" w:eastAsiaTheme="minorEastAsia"/>
                <w:kern w:val="0"/>
                <w:sz w:val="21"/>
              </w:rPr>
              <w:t>原厂标配12V2A电源　</w:t>
            </w:r>
            <w:bookmarkEnd w:id="0"/>
            <w:bookmarkEnd w:id="1"/>
            <w:bookmarkEnd w:id="2"/>
            <w:bookmarkEnd w:id="3"/>
            <w:bookmarkEnd w:id="4"/>
            <w:bookmarkEnd w:id="5"/>
            <w:bookmarkEnd w:id="6"/>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6</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球机电源</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color w:val="000000" w:themeColor="text1"/>
                <w:kern w:val="0"/>
                <w:sz w:val="21"/>
              </w:rPr>
            </w:pPr>
            <w:r>
              <w:rPr>
                <w:rFonts w:cs="宋体" w:asciiTheme="minorEastAsia" w:hAnsiTheme="minorEastAsia" w:eastAsiaTheme="minorEastAsia"/>
                <w:color w:val="000000" w:themeColor="text1"/>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原厂标配12V2A电源　</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7</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综合管理平台</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路</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color w:val="000000" w:themeColor="text1"/>
                <w:kern w:val="0"/>
                <w:sz w:val="21"/>
              </w:rPr>
            </w:pPr>
            <w:r>
              <w:rPr>
                <w:rFonts w:cs="宋体" w:asciiTheme="minorEastAsia" w:hAnsiTheme="minorEastAsia" w:eastAsiaTheme="minorEastAsia"/>
                <w:color w:val="000000" w:themeColor="text1"/>
                <w:kern w:val="0"/>
                <w:sz w:val="21"/>
              </w:rPr>
              <w:t>64</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本项目所采购的前端设备、存储设备、智能诊断服务器及流媒体服务器必须与已建设的安防综合管理平台及拼接屏无缝对接，由综合管理平台统一授权管理和大屏显示（投标单位需出具原厂商针对本项目无缝对接的相关承诺函，否则将不予验收），IVMS-9600授权。</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8</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平台服务器升级</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次</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现有监控系统已满负荷，考虑增加监控点位较多，平台服务器需增加运载能力。</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9</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中心存储设备</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1、接入带宽：可接入总码率不超过400Mbps的32路1920*1080格式的视频图像；</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2、硬盘：可接入16块SATA接口硬盘，可接入6T容量的SATA接口硬盘；</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3、RAID功能：支持RAID0、RAID1、RAID6、RAID10和RAID5，支持全局热备，设置多个Raid分组时，非工作Raid组可自动处于休眠保护状态</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4、外部接口：具备2个VGA接口，2个HDMI接口，2个RJ45网口，2个USB2.0接口、1个USB3.0接口，1个RS232接口、1个RS485接口；</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5、</w:t>
            </w:r>
            <w:bookmarkStart w:id="7" w:name="OLE_LINK43"/>
            <w:r>
              <w:rPr>
                <w:rFonts w:hint="eastAsia" w:cs="宋体" w:asciiTheme="minorEastAsia" w:hAnsiTheme="minorEastAsia" w:eastAsiaTheme="minorEastAsia"/>
                <w:kern w:val="0"/>
                <w:sz w:val="21"/>
              </w:rPr>
              <w:t>★</w:t>
            </w:r>
            <w:bookmarkEnd w:id="7"/>
            <w:r>
              <w:rPr>
                <w:rFonts w:hint="eastAsia" w:cs="宋体" w:asciiTheme="minorEastAsia" w:hAnsiTheme="minorEastAsia" w:eastAsiaTheme="minorEastAsia"/>
                <w:kern w:val="0"/>
                <w:sz w:val="21"/>
              </w:rPr>
              <w:t>倍速回放：可按1/8、1/4、1/2、1、2、4、8、16、32、64、256倍速回放。须在公安部检测报告中体现。</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6、智能侦测：接入带有越界报警、区域入侵、进入区域、离开区域、人员聚集、快速移动、物品遗留、物品拿取、非法停车、徘徊报警、场景变更报警、虚焦报警、音频异常报警、人脸识别报警功能的网络摄像机，当触发报警时，可联动录像、抓拍、报警输出；</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7、分时段回放：可将选中通道24小时内的录像文件按时间平均分配至多个窗口进行分时回放，窗口数量可配置，最大16分屏；</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8、叠加播放：支持将不同时间段的多个目标叠加在一个背景上同时回放。须在公安部检测报告中体现。</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9、</w:t>
            </w:r>
            <w:bookmarkStart w:id="8" w:name="OLE_LINK48"/>
            <w:bookmarkStart w:id="9" w:name="OLE_LINK50"/>
            <w:bookmarkStart w:id="10" w:name="OLE_LINK49"/>
            <w:r>
              <w:rPr>
                <w:rFonts w:hint="eastAsia" w:cs="宋体" w:asciiTheme="minorEastAsia" w:hAnsiTheme="minorEastAsia" w:eastAsiaTheme="minorEastAsia"/>
                <w:kern w:val="0"/>
                <w:sz w:val="21"/>
              </w:rPr>
              <w:t>★</w:t>
            </w:r>
            <w:bookmarkEnd w:id="8"/>
            <w:bookmarkEnd w:id="9"/>
            <w:bookmarkEnd w:id="10"/>
            <w:r>
              <w:rPr>
                <w:rFonts w:hint="eastAsia" w:cs="宋体" w:asciiTheme="minorEastAsia" w:hAnsiTheme="minorEastAsia" w:eastAsiaTheme="minorEastAsia"/>
                <w:kern w:val="0"/>
                <w:sz w:val="21"/>
              </w:rPr>
              <w:t>触控式面板：支持触控式面板，通过面板按键可进行预览、回放、参数配置等操作。须在公安部检测报告中体现。</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10、摘要回放：可将不同时间段的多个目标叠加到同一背景中同时回放。须在公安部检测报告中体现。</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11、图案密码：支持设置图案密码，用户通过绘制图案来解锁并登陆。须在公安部检测报告中体现。</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12、系统备份：支持双系统备份功能，检测到一个系统异常时，可从另一个系统启动，并恢复异常系统</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13、资质认证：投标人须提供有效的公安部检测报告复印件、3C证书　</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10</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cs="宋体" w:asciiTheme="minorEastAsia" w:hAnsiTheme="minorEastAsia" w:eastAsiaTheme="minorEastAsia"/>
                <w:kern w:val="0"/>
                <w:sz w:val="21"/>
              </w:rPr>
              <w:t>8</w:t>
            </w:r>
            <w:r>
              <w:rPr>
                <w:rFonts w:hint="eastAsia" w:cs="宋体" w:asciiTheme="minorEastAsia" w:hAnsiTheme="minorEastAsia" w:eastAsiaTheme="minorEastAsia"/>
                <w:kern w:val="0"/>
                <w:sz w:val="21"/>
              </w:rPr>
              <w:t>T硬盘</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块</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cs="宋体" w:asciiTheme="minorEastAsia" w:hAnsiTheme="minorEastAsia" w:eastAsiaTheme="minorEastAsia"/>
                <w:kern w:val="0"/>
                <w:sz w:val="21"/>
              </w:rPr>
              <w:t>16</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减少中心存储设备，增加硬盘容量。</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11</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管理工作站</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台</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在图书馆值班室配配置1台工作站，上联至保卫处监控中心用于图像浏览查询调阅。</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12</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汇聚交换机</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台</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color w:val="000000" w:themeColor="text1"/>
                <w:kern w:val="0"/>
                <w:sz w:val="21"/>
              </w:rPr>
            </w:pPr>
            <w:r>
              <w:rPr>
                <w:rFonts w:hint="eastAsia" w:cs="宋体" w:asciiTheme="minorEastAsia" w:hAnsiTheme="minorEastAsia" w:eastAsiaTheme="minorEastAsia"/>
                <w:color w:val="000000" w:themeColor="text1"/>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S5701-28X-LI-24S-AC</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13</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接入交换机</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台</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5</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1、★交换容量</w:t>
            </w:r>
            <w:r>
              <w:rPr>
                <w:rFonts w:cs="宋体" w:asciiTheme="minorEastAsia" w:hAnsiTheme="minorEastAsia" w:eastAsiaTheme="minorEastAsia"/>
                <w:kern w:val="0"/>
                <w:sz w:val="21"/>
              </w:rPr>
              <w:t xml:space="preserve"> </w:t>
            </w:r>
            <w:r>
              <w:rPr>
                <w:rFonts w:hint="eastAsia" w:cs="宋体" w:asciiTheme="minorEastAsia" w:hAnsiTheme="minorEastAsia" w:eastAsiaTheme="minorEastAsia"/>
                <w:kern w:val="0"/>
                <w:sz w:val="21"/>
              </w:rPr>
              <w:t>交换容量</w:t>
            </w:r>
            <w:r>
              <w:rPr>
                <w:rFonts w:cs="宋体" w:asciiTheme="minorEastAsia" w:hAnsiTheme="minorEastAsia" w:eastAsiaTheme="minorEastAsia"/>
                <w:kern w:val="0"/>
                <w:sz w:val="21"/>
              </w:rPr>
              <w:t>≥</w:t>
            </w:r>
            <w:r>
              <w:rPr>
                <w:rFonts w:hint="eastAsia" w:cs="宋体" w:asciiTheme="minorEastAsia" w:hAnsiTheme="minorEastAsia" w:eastAsiaTheme="minorEastAsia"/>
                <w:kern w:val="0"/>
                <w:sz w:val="21"/>
              </w:rPr>
              <w:t>32Gbps；包转发率</w:t>
            </w:r>
            <w:r>
              <w:rPr>
                <w:rFonts w:cs="宋体" w:asciiTheme="minorEastAsia" w:hAnsiTheme="minorEastAsia" w:eastAsiaTheme="minorEastAsia"/>
                <w:kern w:val="0"/>
                <w:sz w:val="21"/>
              </w:rPr>
              <w:t xml:space="preserve"> </w:t>
            </w:r>
            <w:r>
              <w:rPr>
                <w:rFonts w:hint="eastAsia" w:cs="宋体" w:asciiTheme="minorEastAsia" w:hAnsiTheme="minorEastAsia" w:eastAsiaTheme="minorEastAsia"/>
                <w:kern w:val="0"/>
                <w:sz w:val="21"/>
              </w:rPr>
              <w:t>包转发率</w:t>
            </w:r>
            <w:r>
              <w:rPr>
                <w:rFonts w:cs="宋体" w:asciiTheme="minorEastAsia" w:hAnsiTheme="minorEastAsia" w:eastAsiaTheme="minorEastAsia"/>
                <w:kern w:val="0"/>
                <w:sz w:val="21"/>
              </w:rPr>
              <w:t>≥</w:t>
            </w:r>
            <w:r>
              <w:rPr>
                <w:rFonts w:hint="eastAsia" w:cs="宋体" w:asciiTheme="minorEastAsia" w:hAnsiTheme="minorEastAsia" w:eastAsiaTheme="minorEastAsia"/>
                <w:kern w:val="0"/>
                <w:sz w:val="21"/>
              </w:rPr>
              <w:t>6.6Mpps </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2、★端口配置</w:t>
            </w:r>
            <w:r>
              <w:rPr>
                <w:rFonts w:cs="宋体" w:asciiTheme="minorEastAsia" w:hAnsiTheme="minorEastAsia" w:eastAsiaTheme="minorEastAsia"/>
                <w:kern w:val="0"/>
                <w:sz w:val="21"/>
              </w:rPr>
              <w:t>24个10/100Base-TX以太网端口，2个10/100/1000Base-T以太网端口，2个复用的千兆Combo SFP</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14</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光模块</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对</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12</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cs="宋体" w:asciiTheme="minorEastAsia" w:hAnsiTheme="minorEastAsia" w:eastAsiaTheme="minorEastAsia"/>
                <w:kern w:val="0"/>
                <w:sz w:val="21"/>
              </w:rPr>
              <w:t>光模块-eSFP-GE-单模模块(1310nm,10km,LC)</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15</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光纤收发器</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对</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6</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百兆单芯光收发</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16</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室外立杆</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支</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1、3.5米室外立杆，挑臂长度0.6米，立杆下端管径应在115mm±10mm、上端管径应在90 mm±5mm，管壁厚度应≥3mm，表面防腐、抗台风。立杆铁制件需采用热度锌处理，热度锌层符合GB/T9790、GBJ36011和GB/T11373的规定，厚度不小于65毫米。</w:t>
            </w:r>
            <w:r>
              <w:rPr>
                <w:rFonts w:hint="eastAsia" w:cs="宋体" w:asciiTheme="minorEastAsia" w:hAnsiTheme="minorEastAsia" w:eastAsiaTheme="minorEastAsia"/>
                <w:kern w:val="0"/>
                <w:sz w:val="21"/>
              </w:rPr>
              <w:br w:type="textWrapping"/>
            </w:r>
            <w:r>
              <w:rPr>
                <w:rFonts w:hint="eastAsia" w:cs="宋体" w:asciiTheme="minorEastAsia" w:hAnsiTheme="minorEastAsia" w:eastAsiaTheme="minorEastAsia"/>
                <w:kern w:val="0"/>
                <w:sz w:val="21"/>
              </w:rPr>
              <w:t>2、立杆整体喷塑，外观应无鼓包，针孔，裂纹或漏喷现象表面光滑色泽一致标准，符合国家标准GB4054及行业标准QB1551-92的标准。</w:t>
            </w:r>
          </w:p>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3、含避雷针、地笼等相关立杆配件。</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17</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前端设备箱</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立杆标配原厂中箱</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18</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接入点挂墙机柜</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9U标准机柜</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19</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机柜防雷PDU</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六位二三插</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20</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接入点配电箱</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按现有机房配电容电，补充机房相关的接入能力</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21</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二合一防雷器</w:t>
            </w:r>
          </w:p>
          <w:p>
            <w:pPr>
              <w:widowControl/>
              <w:spacing w:line="240" w:lineRule="auto"/>
              <w:rPr>
                <w:rFonts w:cs="宋体" w:asciiTheme="minorEastAsia" w:hAnsiTheme="minorEastAsia" w:eastAsiaTheme="minorEastAsia"/>
                <w:kern w:val="0"/>
                <w:sz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最大持续工作电压Uc：5V；标称放电电流：3KA；最大通流容量：5KA；适应传输速率：100M</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22</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室外防雷排插</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8</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★6位二三插，防雷</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23</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供电电源线</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米</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5760</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RVV3*1.5</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24</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供电电源线</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米</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575</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RVV3*2.5</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25</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室外光缆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米</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495</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GYTA-6B1</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26</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光纤尾纤、耦合器</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36</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国标</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27</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前端立杆光纤熔接盘</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定制，15CM*15CM</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28</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机架式光纤盒</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24口</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29</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双芯单模光纤跳线</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SC-SC</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30</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双芯单模光纤跳线</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20</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LC-LC</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31</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超五类非屏蔽双绞线</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5760</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三固</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32</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网络跳线</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条</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cs="宋体" w:asciiTheme="minorEastAsia" w:hAnsiTheme="minorEastAsia" w:eastAsiaTheme="minorEastAsia"/>
                <w:kern w:val="0"/>
                <w:sz w:val="21"/>
              </w:rPr>
              <w:t>64</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2米</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33</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通信管道</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米</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450</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DN32</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34</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PVC线槽</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米</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4660</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DN25</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35</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光纤熔接</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处</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36</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按标准熔接</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36</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前端立杆安装接地</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处</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按标准安装接地</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37</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color w:val="FF0000"/>
                <w:kern w:val="0"/>
                <w:sz w:val="21"/>
              </w:rPr>
              <w:t>前端摄像机</w:t>
            </w:r>
            <w:r>
              <w:rPr>
                <w:rFonts w:hint="eastAsia" w:cs="宋体" w:asciiTheme="minorEastAsia" w:hAnsiTheme="minorEastAsia" w:eastAsiaTheme="minorEastAsia"/>
                <w:kern w:val="0"/>
                <w:sz w:val="21"/>
              </w:rPr>
              <w:t>、光纤收发器及配件安装调试</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处</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cs="宋体" w:asciiTheme="minorEastAsia" w:hAnsiTheme="minorEastAsia" w:eastAsiaTheme="minorEastAsia"/>
                <w:kern w:val="0"/>
                <w:sz w:val="21"/>
              </w:rPr>
              <w:t>64</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含摄像机、光传设备及网络传输设备的安装调试</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38</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水泥地开挖敷设及修复</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米</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80</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按现场情况及用户要求</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39</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草地开挖敷设及修复</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米</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120</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按现场情况及用户要求</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40</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沙井制作</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4</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含相关辅材</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41</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机房接地</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设备接地</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42</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标签制作</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43</w:t>
            </w:r>
          </w:p>
        </w:tc>
        <w:tc>
          <w:tcPr>
            <w:tcW w:w="1527"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系统集成及联调费</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44</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辅助材料</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4</w:t>
            </w:r>
            <w:r>
              <w:rPr>
                <w:rFonts w:cs="宋体" w:asciiTheme="minorEastAsia" w:hAnsiTheme="minorEastAsia" w:eastAsiaTheme="minorEastAsia"/>
                <w:kern w:val="0"/>
                <w:sz w:val="21"/>
              </w:rPr>
              <w:t>5</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hint="eastAsia" w:eastAsia="宋体" w:cs="宋体" w:asciiTheme="minorEastAsia" w:hAnsiTheme="minorEastAsia"/>
                <w:kern w:val="0"/>
                <w:sz w:val="21"/>
                <w:lang w:eastAsia="zh-CN"/>
              </w:rPr>
            </w:pPr>
            <w:r>
              <w:rPr>
                <w:rFonts w:hint="eastAsia" w:ascii="宋体" w:hAnsi="宋体" w:cs="宋体"/>
                <w:sz w:val="24"/>
                <w:lang w:val="en-US" w:eastAsia="zh-CN"/>
              </w:rPr>
              <w:t>备用</w:t>
            </w:r>
            <w:r>
              <w:rPr>
                <w:rFonts w:hint="eastAsia" w:ascii="宋体" w:hAnsi="宋体" w:cs="宋体"/>
                <w:sz w:val="24"/>
              </w:rPr>
              <w:t>前端摄像机</w:t>
            </w:r>
            <w:r>
              <w:rPr>
                <w:rFonts w:hint="eastAsia" w:ascii="宋体" w:hAnsi="宋体" w:cs="宋体"/>
                <w:sz w:val="24"/>
                <w:lang w:eastAsia="zh-CN"/>
              </w:rPr>
              <w:t>（</w:t>
            </w:r>
            <w:r>
              <w:rPr>
                <w:rFonts w:hint="eastAsia" w:ascii="宋体" w:hAnsi="宋体" w:cs="宋体"/>
                <w:sz w:val="24"/>
                <w:lang w:val="en-US" w:eastAsia="zh-CN"/>
              </w:rPr>
              <w:t>含配套电源、摄像机支架</w:t>
            </w:r>
            <w:r>
              <w:rPr>
                <w:rFonts w:hint="eastAsia" w:ascii="宋体" w:hAnsi="宋体" w:cs="宋体"/>
                <w:sz w:val="24"/>
                <w:lang w:eastAsia="zh-CN"/>
              </w:rPr>
              <w:t>）</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cs="宋体" w:asciiTheme="minorEastAsia" w:hAnsiTheme="minorEastAsia" w:eastAsiaTheme="minorEastAsia"/>
                <w:kern w:val="0"/>
                <w:sz w:val="21"/>
                <w:lang w:eastAsia="zh-CN"/>
              </w:rPr>
            </w:pPr>
            <w:r>
              <w:rPr>
                <w:rFonts w:hint="eastAsia" w:cs="宋体" w:asciiTheme="minorEastAsia" w:hAnsiTheme="minorEastAsia" w:eastAsiaTheme="minorEastAsia"/>
                <w:kern w:val="0"/>
                <w:sz w:val="21"/>
                <w:lang w:val="en-US" w:eastAsia="zh-CN"/>
              </w:rPr>
              <w:t>6</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海康威视，型号DS-2CD2T2XYZUV-ABCDEF</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4</w:t>
            </w:r>
            <w:r>
              <w:rPr>
                <w:rFonts w:cs="宋体" w:asciiTheme="minorEastAsia" w:hAnsiTheme="minorEastAsia" w:eastAsiaTheme="minorEastAsia"/>
                <w:kern w:val="0"/>
                <w:sz w:val="21"/>
              </w:rPr>
              <w:t>6</w:t>
            </w: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ascii="宋体" w:hAnsi="宋体" w:cs="宋体"/>
                <w:sz w:val="24"/>
                <w:lang w:val="en-US" w:eastAsia="zh-CN"/>
              </w:rPr>
              <w:t>备用</w:t>
            </w:r>
            <w:r>
              <w:rPr>
                <w:rFonts w:hint="eastAsia" w:ascii="宋体" w:hAnsi="宋体" w:cs="宋体"/>
                <w:sz w:val="24"/>
              </w:rPr>
              <w:t>防雷器</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个</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最大持续工作电压Uc：5V；标称放电电流：3KA；最大通流容量：5KA；适应传输速率：100M</w:t>
            </w:r>
          </w:p>
        </w:tc>
      </w:tr>
      <w:tr>
        <w:tblPrEx>
          <w:tblCellMar>
            <w:top w:w="0" w:type="dxa"/>
            <w:left w:w="108" w:type="dxa"/>
            <w:bottom w:w="0" w:type="dxa"/>
            <w:right w:w="108" w:type="dxa"/>
          </w:tblCellMar>
        </w:tblPrEx>
        <w:trPr>
          <w:gridAfter w:val="1"/>
          <w:wAfter w:w="12" w:type="dxa"/>
          <w:trHeight w:val="40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cs="宋体" w:asciiTheme="minorEastAsia" w:hAnsiTheme="minorEastAsia" w:eastAsiaTheme="minorEastAsia"/>
                <w:kern w:val="0"/>
                <w:sz w:val="21"/>
                <w:lang w:val="en-US" w:eastAsia="zh-CN"/>
              </w:rPr>
            </w:pPr>
          </w:p>
        </w:tc>
        <w:tc>
          <w:tcPr>
            <w:tcW w:w="1527" w:type="dxa"/>
            <w:tcBorders>
              <w:top w:val="nil"/>
              <w:left w:val="nil"/>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bookmarkStart w:id="14" w:name="_GoBack"/>
            <w:bookmarkEnd w:id="14"/>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cs="宋体" w:asciiTheme="minorEastAsia" w:hAnsiTheme="minorEastAsia" w:eastAsiaTheme="minorEastAsia"/>
                <w:kern w:val="0"/>
                <w:sz w:val="21"/>
                <w:lang w:val="en-US" w:eastAsia="zh-CN"/>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cs="宋体" w:asciiTheme="minorEastAsia" w:hAnsiTheme="minorEastAsia" w:eastAsiaTheme="minorEastAsia"/>
                <w:kern w:val="0"/>
                <w:sz w:val="21"/>
                <w:lang w:val="en-US" w:eastAsia="zh-CN"/>
              </w:rPr>
            </w:pPr>
          </w:p>
        </w:tc>
        <w:tc>
          <w:tcPr>
            <w:tcW w:w="6945"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asciiTheme="minorEastAsia" w:hAnsiTheme="minorEastAsia" w:eastAsiaTheme="minorEastAsia"/>
                <w:kern w:val="0"/>
                <w:sz w:val="21"/>
              </w:rPr>
            </w:pPr>
          </w:p>
        </w:tc>
      </w:tr>
      <w:tr>
        <w:tblPrEx>
          <w:tblCellMar>
            <w:top w:w="0" w:type="dxa"/>
            <w:left w:w="108" w:type="dxa"/>
            <w:bottom w:w="0" w:type="dxa"/>
            <w:right w:w="108" w:type="dxa"/>
          </w:tblCellMar>
        </w:tblPrEx>
        <w:trPr>
          <w:trHeight w:val="405" w:hRule="atLeast"/>
        </w:trPr>
        <w:tc>
          <w:tcPr>
            <w:tcW w:w="10502" w:type="dxa"/>
            <w:gridSpan w:val="6"/>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注：以上采购清单为估算情况，具体数量需根据深化方案确定。</w:t>
            </w:r>
          </w:p>
        </w:tc>
      </w:tr>
    </w:tbl>
    <w:p>
      <w:pPr>
        <w:widowControl/>
        <w:ind w:firstLine="480" w:firstLineChars="200"/>
        <w:rPr>
          <w:rFonts w:ascii="宋体" w:hAnsi="宋体" w:cs="宋体"/>
          <w:kern w:val="0"/>
          <w:sz w:val="24"/>
        </w:rPr>
      </w:pPr>
      <w:r>
        <w:rPr>
          <w:rFonts w:hint="eastAsia" w:ascii="宋体" w:hAnsi="宋体" w:cs="宋体"/>
          <w:kern w:val="0"/>
          <w:sz w:val="24"/>
        </w:rPr>
        <w:t>说明：</w:t>
      </w:r>
    </w:p>
    <w:p>
      <w:pPr>
        <w:widowControl/>
        <w:ind w:firstLine="480" w:firstLineChars="200"/>
        <w:rPr>
          <w:rFonts w:ascii="宋体" w:hAnsi="宋体"/>
          <w:sz w:val="24"/>
        </w:rPr>
      </w:pPr>
      <w:r>
        <w:rPr>
          <w:rFonts w:hint="eastAsia" w:ascii="宋体" w:hAnsi="宋体"/>
          <w:sz w:val="24"/>
        </w:rPr>
        <w:t>1.</w:t>
      </w:r>
      <w:r>
        <w:rPr>
          <w:rFonts w:ascii="宋体" w:hAnsi="宋体"/>
          <w:sz w:val="24"/>
        </w:rPr>
        <w:t>上述清单是完成项目的全部费用，包括货物、设备、设施及配件、辅材的购置和制作安装、运输、装卸、安装机械、垃圾外运及其他措施费、调试、试运行、保修及售后服务、保险、方案深化设计费、税金、合同实施过程中应预见和不可预见等一切费用。</w:t>
      </w:r>
      <w:r>
        <w:rPr>
          <w:rFonts w:hint="eastAsia" w:ascii="宋体" w:hAnsi="宋体"/>
          <w:sz w:val="24"/>
        </w:rPr>
        <w:t>采用材料不低于我校现已建设设备水平。</w:t>
      </w:r>
    </w:p>
    <w:p>
      <w:pPr>
        <w:widowControl/>
        <w:ind w:firstLine="480" w:firstLineChars="200"/>
        <w:rPr>
          <w:rFonts w:ascii="宋体" w:hAnsi="宋体"/>
          <w:sz w:val="24"/>
        </w:rPr>
      </w:pPr>
      <w:r>
        <w:rPr>
          <w:rFonts w:hint="eastAsia" w:ascii="宋体" w:hAnsi="宋体"/>
          <w:sz w:val="24"/>
        </w:rPr>
        <w:t>2.为保证本项目系统的完整性，以上清单中未列出的附件及相关辅助材料、设备将由投标人深化设计完成，并在投标报价中综合考虑，采购人不再为此支付任何费用。</w:t>
      </w:r>
    </w:p>
    <w:p>
      <w:pPr>
        <w:tabs>
          <w:tab w:val="left" w:pos="312"/>
          <w:tab w:val="left" w:pos="425"/>
          <w:tab w:val="left" w:pos="1260"/>
        </w:tabs>
        <w:ind w:firstLine="482" w:firstLineChars="200"/>
        <w:rPr>
          <w:rFonts w:ascii="宋体" w:hAnsi="宋体" w:cs="宋体"/>
          <w:b/>
          <w:sz w:val="24"/>
        </w:rPr>
      </w:pPr>
      <w:r>
        <w:rPr>
          <w:rFonts w:hint="eastAsia" w:ascii="宋体" w:hAnsi="宋体" w:cs="宋体"/>
          <w:b/>
          <w:sz w:val="24"/>
        </w:rPr>
        <w:t>四、项目实施要求</w:t>
      </w:r>
    </w:p>
    <w:p>
      <w:pPr>
        <w:tabs>
          <w:tab w:val="left" w:pos="312"/>
          <w:tab w:val="left" w:pos="425"/>
          <w:tab w:val="left" w:pos="1260"/>
        </w:tabs>
        <w:ind w:firstLine="482" w:firstLineChars="200"/>
        <w:rPr>
          <w:rFonts w:ascii="宋体" w:hAnsi="宋体" w:cs="宋体"/>
          <w:b/>
          <w:sz w:val="24"/>
        </w:rPr>
      </w:pPr>
      <w:r>
        <w:rPr>
          <w:rFonts w:hint="eastAsia" w:ascii="宋体" w:hAnsi="宋体" w:cs="宋体"/>
          <w:b/>
          <w:sz w:val="24"/>
        </w:rPr>
        <w:t>（一）项目实施要求</w:t>
      </w:r>
    </w:p>
    <w:p>
      <w:pPr>
        <w:tabs>
          <w:tab w:val="left" w:pos="312"/>
          <w:tab w:val="left" w:pos="425"/>
        </w:tabs>
        <w:ind w:firstLine="480" w:firstLineChars="200"/>
        <w:rPr>
          <w:rFonts w:ascii="宋体" w:hAnsi="宋体" w:cs="宋体"/>
          <w:sz w:val="24"/>
        </w:rPr>
      </w:pPr>
      <w:r>
        <w:rPr>
          <w:rFonts w:ascii="宋体" w:hAnsi="宋体" w:cs="宋体"/>
          <w:sz w:val="24"/>
        </w:rPr>
        <w:t>1.</w:t>
      </w:r>
      <w:r>
        <w:rPr>
          <w:rFonts w:hint="eastAsia" w:ascii="宋体" w:hAnsi="宋体" w:cs="宋体"/>
          <w:sz w:val="24"/>
        </w:rPr>
        <w:t>实施要求</w:t>
      </w:r>
    </w:p>
    <w:p>
      <w:pPr>
        <w:tabs>
          <w:tab w:val="left" w:pos="312"/>
          <w:tab w:val="left" w:pos="425"/>
        </w:tabs>
        <w:ind w:firstLine="480" w:firstLineChars="200"/>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设备安装</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投标人必须向采购人提供本项目采购的所有硬件的安装和维护服务的全部内容。若本项目采购的设备产品等方面的配置或要求中出现不合理或不完整的问题时，投标人有责任和义务在投标文件中提出补充修改方案并征得采购人同意后付诸实施。</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对投标人要求：</w:t>
      </w:r>
    </w:p>
    <w:p>
      <w:pPr>
        <w:tabs>
          <w:tab w:val="left" w:pos="312"/>
          <w:tab w:val="left" w:pos="425"/>
          <w:tab w:val="left" w:pos="1260"/>
        </w:tabs>
        <w:ind w:firstLine="480" w:firstLineChars="200"/>
        <w:rPr>
          <w:rFonts w:ascii="宋体" w:hAnsi="宋体" w:cs="宋体"/>
          <w:sz w:val="24"/>
        </w:rPr>
      </w:pPr>
      <w:r>
        <w:rPr>
          <w:rFonts w:ascii="宋体" w:hAnsi="宋体" w:cs="宋体"/>
          <w:sz w:val="24"/>
        </w:rPr>
        <w:t>1.1.1</w:t>
      </w:r>
      <w:r>
        <w:rPr>
          <w:rFonts w:hint="eastAsia" w:ascii="宋体" w:hAnsi="宋体" w:cs="宋体"/>
          <w:sz w:val="24"/>
        </w:rPr>
        <w:t>要求投标人必须具有良好信誉和相关实力的技术队伍。</w:t>
      </w:r>
    </w:p>
    <w:p>
      <w:pPr>
        <w:tabs>
          <w:tab w:val="left" w:pos="312"/>
          <w:tab w:val="left" w:pos="425"/>
          <w:tab w:val="left" w:pos="1260"/>
        </w:tabs>
        <w:ind w:firstLine="480" w:firstLineChars="200"/>
        <w:rPr>
          <w:rFonts w:ascii="宋体" w:hAnsi="宋体" w:cs="宋体"/>
          <w:sz w:val="24"/>
        </w:rPr>
      </w:pPr>
      <w:r>
        <w:rPr>
          <w:rFonts w:ascii="宋体" w:hAnsi="宋体" w:cs="宋体"/>
          <w:sz w:val="24"/>
        </w:rPr>
        <w:t>1.1.2</w:t>
      </w:r>
      <w:r>
        <w:rPr>
          <w:rFonts w:hint="eastAsia" w:ascii="宋体" w:hAnsi="宋体" w:cs="宋体"/>
          <w:sz w:val="24"/>
        </w:rPr>
        <w:t>投标人应本着认真负责态度，组织技术队伍，做好投标的整体方案，并书面提出保修、维护、服务以及今后技术支持的措施计划和承诺。</w:t>
      </w:r>
    </w:p>
    <w:p>
      <w:pPr>
        <w:tabs>
          <w:tab w:val="left" w:pos="312"/>
          <w:tab w:val="left" w:pos="425"/>
          <w:tab w:val="left" w:pos="1260"/>
        </w:tabs>
        <w:ind w:firstLine="480" w:firstLineChars="200"/>
        <w:rPr>
          <w:rFonts w:ascii="宋体" w:hAnsi="宋体" w:cs="宋体"/>
          <w:sz w:val="24"/>
        </w:rPr>
      </w:pPr>
      <w:r>
        <w:rPr>
          <w:rFonts w:ascii="宋体" w:hAnsi="宋体" w:cs="宋体"/>
          <w:sz w:val="24"/>
        </w:rPr>
        <w:t>1.1.3</w:t>
      </w:r>
      <w:r>
        <w:rPr>
          <w:rFonts w:hint="eastAsia" w:ascii="宋体" w:hAnsi="宋体" w:cs="宋体"/>
          <w:sz w:val="24"/>
        </w:rPr>
        <w:t>所有设备均须由投标人送货上门并安装调试。用户不再支付任何费用。</w:t>
      </w:r>
    </w:p>
    <w:p>
      <w:pPr>
        <w:tabs>
          <w:tab w:val="left" w:pos="312"/>
          <w:tab w:val="left" w:pos="425"/>
          <w:tab w:val="left" w:pos="1260"/>
        </w:tabs>
        <w:ind w:firstLine="480" w:firstLineChars="200"/>
        <w:rPr>
          <w:rFonts w:ascii="宋体" w:hAnsi="宋体" w:cs="宋体"/>
          <w:sz w:val="24"/>
        </w:rPr>
      </w:pPr>
      <w:r>
        <w:rPr>
          <w:rFonts w:ascii="宋体" w:hAnsi="宋体" w:cs="宋体"/>
          <w:sz w:val="24"/>
        </w:rPr>
        <w:t>1.1.4</w:t>
      </w:r>
      <w:r>
        <w:rPr>
          <w:rFonts w:hint="eastAsia" w:ascii="宋体" w:hAnsi="宋体" w:cs="宋体"/>
          <w:sz w:val="24"/>
        </w:rPr>
        <w:t>自设备安装工作一开始，投标人应允许使用单位的工作人员参与设备的安装、测试、诊断及解决遇到的问题等各项工作。</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测试和验收</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投标人应根据所提交的验收方案和实施办法，自行组织设备和人员，并在使用单位监查下现场进行测试和验收。</w:t>
      </w:r>
    </w:p>
    <w:p>
      <w:pPr>
        <w:tabs>
          <w:tab w:val="left" w:pos="312"/>
          <w:tab w:val="left" w:pos="425"/>
          <w:tab w:val="left" w:pos="1260"/>
        </w:tabs>
        <w:ind w:firstLine="480" w:firstLineChars="200"/>
        <w:rPr>
          <w:rFonts w:ascii="宋体" w:hAnsi="宋体" w:cs="宋体"/>
          <w:sz w:val="24"/>
        </w:rPr>
      </w:pPr>
      <w:r>
        <w:rPr>
          <w:rFonts w:ascii="宋体" w:hAnsi="宋体" w:cs="宋体"/>
          <w:sz w:val="24"/>
        </w:rPr>
        <w:t>2.</w:t>
      </w:r>
      <w:r>
        <w:rPr>
          <w:rFonts w:hint="eastAsia" w:ascii="宋体" w:hAnsi="宋体" w:cs="宋体"/>
          <w:sz w:val="24"/>
        </w:rPr>
        <w:t>开箱检验</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所有设备、器材在开箱时必须完好，无破损。配置与装箱单相符。数量、质量及性能不低于合同要求。</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2</w:t>
      </w:r>
      <w:r>
        <w:rPr>
          <w:rFonts w:ascii="宋体" w:hAnsi="宋体" w:cs="宋体"/>
          <w:sz w:val="24"/>
        </w:rPr>
        <w:t>.2</w:t>
      </w:r>
      <w:r>
        <w:rPr>
          <w:rFonts w:hint="eastAsia" w:ascii="宋体" w:hAnsi="宋体" w:cs="宋体"/>
          <w:sz w:val="24"/>
        </w:rPr>
        <w:t>拆箱后，投标人应对其全部产品、零件、配件、用户许可证书、资料、介质造册登记，并与装箱单对比，如有出入应立即书面记录，由供货商解决，如影响安装则按合同有关条款处理。</w:t>
      </w:r>
    </w:p>
    <w:p>
      <w:pPr>
        <w:tabs>
          <w:tab w:val="left" w:pos="312"/>
          <w:tab w:val="left" w:pos="425"/>
          <w:tab w:val="left" w:pos="1260"/>
        </w:tabs>
        <w:ind w:firstLine="480" w:firstLineChars="200"/>
        <w:rPr>
          <w:rFonts w:ascii="宋体" w:hAnsi="宋体" w:cs="宋体"/>
          <w:sz w:val="24"/>
        </w:rPr>
      </w:pPr>
      <w:r>
        <w:rPr>
          <w:rFonts w:ascii="宋体" w:hAnsi="宋体" w:cs="宋体"/>
          <w:sz w:val="24"/>
        </w:rPr>
        <w:t>3.</w:t>
      </w:r>
      <w:r>
        <w:rPr>
          <w:rFonts w:hint="eastAsia" w:ascii="宋体" w:hAnsi="宋体" w:cs="宋体"/>
          <w:sz w:val="24"/>
        </w:rPr>
        <w:t>设备测试</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设备安装完成后，按照系统要求的基本功能逐一测试。</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3</w:t>
      </w:r>
      <w:r>
        <w:rPr>
          <w:rFonts w:ascii="宋体" w:hAnsi="宋体" w:cs="宋体"/>
          <w:sz w:val="24"/>
        </w:rPr>
        <w:t>.1</w:t>
      </w:r>
      <w:r>
        <w:rPr>
          <w:rFonts w:hint="eastAsia" w:ascii="宋体" w:hAnsi="宋体" w:cs="宋体"/>
          <w:sz w:val="24"/>
        </w:rPr>
        <w:t>系统运行正常，联机测试通过。</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3</w:t>
      </w:r>
      <w:r>
        <w:rPr>
          <w:rFonts w:ascii="宋体" w:hAnsi="宋体" w:cs="宋体"/>
          <w:sz w:val="24"/>
        </w:rPr>
        <w:t>.2</w:t>
      </w:r>
      <w:r>
        <w:rPr>
          <w:rFonts w:hint="eastAsia" w:ascii="宋体" w:hAnsi="宋体" w:cs="宋体"/>
          <w:sz w:val="24"/>
        </w:rPr>
        <w:t>如商检或设备测试中发现设备性能指标或功能上不符合招标文件和合同时，将被看作性能不合格，设备使用单位有权拒收并要求赔偿。</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3</w:t>
      </w:r>
      <w:r>
        <w:rPr>
          <w:rFonts w:ascii="宋体" w:hAnsi="宋体" w:cs="宋体"/>
          <w:sz w:val="24"/>
        </w:rPr>
        <w:t>.3</w:t>
      </w:r>
      <w:r>
        <w:rPr>
          <w:rFonts w:hint="eastAsia" w:ascii="宋体" w:hAnsi="宋体" w:cs="宋体"/>
          <w:sz w:val="24"/>
        </w:rPr>
        <w:t>投标人应负责在项目验收时将系统的全部有关产品说明书、原厂家安装手册、技术文件、资料、及安装、验收报告等文档交付设备使用单位。</w:t>
      </w:r>
    </w:p>
    <w:p>
      <w:pPr>
        <w:tabs>
          <w:tab w:val="left" w:pos="312"/>
          <w:tab w:val="left" w:pos="425"/>
          <w:tab w:val="left" w:pos="1260"/>
        </w:tabs>
        <w:ind w:firstLine="480" w:firstLineChars="200"/>
        <w:rPr>
          <w:rFonts w:ascii="宋体" w:hAnsi="宋体" w:cs="宋体"/>
          <w:sz w:val="24"/>
        </w:rPr>
      </w:pPr>
      <w:r>
        <w:rPr>
          <w:rFonts w:ascii="宋体" w:hAnsi="宋体" w:cs="宋体"/>
          <w:sz w:val="24"/>
        </w:rPr>
        <w:t>3.4</w:t>
      </w:r>
      <w:r>
        <w:rPr>
          <w:rFonts w:hint="eastAsia" w:ascii="宋体" w:hAnsi="宋体" w:cs="宋体"/>
          <w:sz w:val="24"/>
        </w:rPr>
        <w:t>产品验收要求</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3</w:t>
      </w:r>
      <w:r>
        <w:rPr>
          <w:rFonts w:ascii="宋体" w:hAnsi="宋体" w:cs="宋体"/>
          <w:sz w:val="24"/>
        </w:rPr>
        <w:t>.4.1</w:t>
      </w:r>
      <w:r>
        <w:rPr>
          <w:rFonts w:hint="eastAsia" w:ascii="宋体" w:hAnsi="宋体" w:cs="宋体"/>
          <w:sz w:val="24"/>
        </w:rPr>
        <w:t>要求对全部设备、产品、型号、规格、数量、外型、外观、包装及资料、文件（如装箱单、保修单、随箱介质等）的验收。</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3</w:t>
      </w:r>
      <w:r>
        <w:rPr>
          <w:rFonts w:ascii="宋体" w:hAnsi="宋体" w:cs="宋体"/>
          <w:sz w:val="24"/>
        </w:rPr>
        <w:t>.4.2</w:t>
      </w:r>
      <w:r>
        <w:rPr>
          <w:rFonts w:hint="eastAsia" w:ascii="宋体" w:hAnsi="宋体" w:cs="宋体"/>
          <w:sz w:val="24"/>
        </w:rPr>
        <w:t>凡列入《中华人民共和国实施强制性产品认证的产品目录》的产品在验收时出具CCC认证证书复印件，并以在产品外部加施认证标志作为验收依据之一。</w:t>
      </w:r>
    </w:p>
    <w:p>
      <w:pPr>
        <w:tabs>
          <w:tab w:val="left" w:pos="312"/>
          <w:tab w:val="left" w:pos="425"/>
          <w:tab w:val="left" w:pos="1260"/>
        </w:tabs>
        <w:ind w:firstLine="480" w:firstLineChars="200"/>
        <w:rPr>
          <w:rFonts w:ascii="宋体" w:hAnsi="宋体" w:cs="宋体"/>
          <w:sz w:val="24"/>
        </w:rPr>
      </w:pPr>
      <w:r>
        <w:rPr>
          <w:rFonts w:hint="eastAsia" w:ascii="宋体" w:hAnsi="宋体" w:cs="宋体"/>
          <w:sz w:val="24"/>
        </w:rPr>
        <w:t>3</w:t>
      </w:r>
      <w:r>
        <w:rPr>
          <w:rFonts w:ascii="宋体" w:hAnsi="宋体" w:cs="宋体"/>
          <w:sz w:val="24"/>
        </w:rPr>
        <w:t>.4.3</w:t>
      </w:r>
      <w:r>
        <w:rPr>
          <w:rFonts w:hint="eastAsia" w:ascii="宋体" w:hAnsi="宋体" w:cs="宋体"/>
          <w:sz w:val="24"/>
        </w:rPr>
        <w:t>验收时中标人需提供项目实际完工图纸，包含但不限于设备安装平面图、线路布置图、线路系统图、设备清单（包括名称、规格型号、产地、单价等）、系统的全部有关产品说明书、原厂家安装手册、技术文件、资料、及安装、验收报告等文档汇集成册，一式四份（其中原件一份、复印件三份）交由使用单位存档。</w:t>
      </w:r>
    </w:p>
    <w:p>
      <w:pPr>
        <w:tabs>
          <w:tab w:val="left" w:pos="312"/>
          <w:tab w:val="left" w:pos="425"/>
          <w:tab w:val="left" w:pos="1260"/>
        </w:tabs>
        <w:ind w:firstLine="482" w:firstLineChars="200"/>
        <w:rPr>
          <w:rFonts w:ascii="宋体" w:hAnsi="宋体" w:cs="宋体"/>
          <w:b/>
          <w:sz w:val="24"/>
        </w:rPr>
      </w:pPr>
      <w:r>
        <w:rPr>
          <w:rFonts w:hint="eastAsia" w:ascii="宋体" w:hAnsi="宋体" w:cs="宋体"/>
          <w:b/>
          <w:sz w:val="24"/>
        </w:rPr>
        <w:t xml:space="preserve">（二）售后服务及质量保证 </w:t>
      </w:r>
    </w:p>
    <w:p>
      <w:pPr>
        <w:tabs>
          <w:tab w:val="left" w:pos="312"/>
          <w:tab w:val="left" w:pos="425"/>
          <w:tab w:val="left" w:pos="1260"/>
        </w:tabs>
        <w:ind w:firstLine="480" w:firstLineChars="200"/>
        <w:rPr>
          <w:rFonts w:ascii="宋体" w:hAnsi="宋体" w:cs="宋体"/>
          <w:sz w:val="24"/>
        </w:rPr>
      </w:pPr>
      <w:r>
        <w:rPr>
          <w:rFonts w:ascii="宋体" w:hAnsi="宋体" w:cs="宋体"/>
          <w:sz w:val="24"/>
        </w:rPr>
        <w:t>1.</w:t>
      </w:r>
      <w:r>
        <w:rPr>
          <w:rFonts w:hint="eastAsia" w:ascii="宋体" w:hAnsi="宋体" w:cs="宋体"/>
          <w:sz w:val="24"/>
        </w:rPr>
        <w:t>安装调试与人员培训,中标人应及时安装调试设备，安装调试期间采购人的使用人员协助配合；安装调试完毕，中标人需组织采购人使用人员进行使用及日常维护等的培训。</w:t>
      </w:r>
    </w:p>
    <w:p>
      <w:pPr>
        <w:tabs>
          <w:tab w:val="left" w:pos="312"/>
          <w:tab w:val="left" w:pos="425"/>
          <w:tab w:val="left" w:pos="1260"/>
        </w:tabs>
        <w:ind w:firstLine="480" w:firstLineChars="200"/>
        <w:rPr>
          <w:rFonts w:ascii="宋体" w:hAnsi="宋体" w:cs="宋体"/>
          <w:sz w:val="24"/>
        </w:rPr>
      </w:pPr>
      <w:r>
        <w:rPr>
          <w:rFonts w:ascii="宋体" w:hAnsi="宋体" w:cs="宋体"/>
          <w:sz w:val="24"/>
        </w:rPr>
        <w:t>2.</w:t>
      </w:r>
      <w:r>
        <w:rPr>
          <w:rFonts w:hint="eastAsia" w:ascii="宋体" w:hAnsi="宋体" w:cs="宋体"/>
          <w:sz w:val="24"/>
        </w:rPr>
        <w:t>提供1年质保期，并顺延3年免费维保期。质保期和免费维保期内从采购人签订验收合格报告之日开始计算，免费质保期内供货方负责所有因设备质量问题而产生的费用，所有服务免费。</w:t>
      </w:r>
    </w:p>
    <w:p>
      <w:pPr>
        <w:tabs>
          <w:tab w:val="left" w:pos="312"/>
          <w:tab w:val="left" w:pos="425"/>
          <w:tab w:val="left" w:pos="1260"/>
        </w:tabs>
        <w:ind w:firstLine="480" w:firstLineChars="200"/>
        <w:rPr>
          <w:rFonts w:ascii="宋体" w:hAnsi="宋体" w:cs="宋体"/>
          <w:sz w:val="24"/>
        </w:rPr>
      </w:pPr>
      <w:r>
        <w:rPr>
          <w:rFonts w:ascii="宋体" w:hAnsi="宋体" w:cs="宋体"/>
          <w:sz w:val="24"/>
        </w:rPr>
        <w:t>3.</w:t>
      </w:r>
      <w:r>
        <w:rPr>
          <w:rFonts w:hint="eastAsia" w:ascii="宋体" w:hAnsi="宋体" w:cs="宋体"/>
          <w:sz w:val="24"/>
        </w:rPr>
        <w:t>中标人应指派专人负责与采购人联系售后服务事宜。无论设备因何种原因发生何种故障，中标人在接到维修通知后，须在2小时内响应，8小时内到达现场，24小时解决问题，若48小时内无法解决问题，则中标人应提供不低于同档次的产品供采购人使用。无法解决问题，则中标人应给采购人更换不低于同档次的新产品。</w:t>
      </w:r>
    </w:p>
    <w:p>
      <w:pPr>
        <w:tabs>
          <w:tab w:val="left" w:pos="312"/>
          <w:tab w:val="left" w:pos="425"/>
          <w:tab w:val="left" w:pos="1260"/>
        </w:tabs>
        <w:ind w:firstLine="482" w:firstLineChars="200"/>
        <w:rPr>
          <w:rFonts w:ascii="宋体" w:hAnsi="宋体" w:cs="宋体"/>
          <w:b/>
          <w:sz w:val="24"/>
        </w:rPr>
      </w:pPr>
      <w:r>
        <w:rPr>
          <w:rFonts w:hint="eastAsia" w:ascii="宋体" w:hAnsi="宋体" w:cs="宋体"/>
          <w:b/>
          <w:sz w:val="24"/>
        </w:rPr>
        <w:t>（三）交货时间和地点</w:t>
      </w:r>
    </w:p>
    <w:p>
      <w:pPr>
        <w:tabs>
          <w:tab w:val="left" w:pos="312"/>
          <w:tab w:val="left" w:pos="425"/>
          <w:tab w:val="left" w:pos="1260"/>
        </w:tabs>
        <w:ind w:firstLine="480" w:firstLineChars="200"/>
        <w:rPr>
          <w:rFonts w:ascii="宋体" w:hAnsi="宋体" w:cs="宋体"/>
          <w:sz w:val="24"/>
        </w:rPr>
      </w:pPr>
      <w:r>
        <w:rPr>
          <w:rFonts w:ascii="宋体" w:hAnsi="宋体" w:cs="宋体"/>
          <w:sz w:val="24"/>
        </w:rPr>
        <w:t>1.</w:t>
      </w:r>
      <w:r>
        <w:rPr>
          <w:rFonts w:hint="eastAsia" w:ascii="宋体" w:hAnsi="宋体" w:cs="宋体"/>
          <w:sz w:val="24"/>
        </w:rPr>
        <w:t>交货时间：合同签订后90天内完成供货、安装、调试、交付使用。</w:t>
      </w:r>
    </w:p>
    <w:p>
      <w:pPr>
        <w:tabs>
          <w:tab w:val="left" w:pos="312"/>
          <w:tab w:val="left" w:pos="425"/>
          <w:tab w:val="left" w:pos="1260"/>
        </w:tabs>
        <w:ind w:firstLine="480" w:firstLineChars="200"/>
        <w:rPr>
          <w:rFonts w:ascii="宋体" w:hAnsi="宋体" w:cs="宋体"/>
          <w:sz w:val="24"/>
        </w:rPr>
      </w:pPr>
      <w:r>
        <w:rPr>
          <w:rFonts w:ascii="宋体" w:hAnsi="宋体" w:cs="宋体"/>
          <w:sz w:val="24"/>
        </w:rPr>
        <w:t>2.</w:t>
      </w:r>
      <w:r>
        <w:rPr>
          <w:rFonts w:hint="eastAsia" w:ascii="宋体" w:hAnsi="宋体" w:cs="宋体"/>
          <w:sz w:val="24"/>
        </w:rPr>
        <w:t>交货地点：用户指定地点。</w:t>
      </w:r>
    </w:p>
    <w:p>
      <w:pPr>
        <w:tabs>
          <w:tab w:val="left" w:pos="312"/>
          <w:tab w:val="left" w:pos="425"/>
          <w:tab w:val="left" w:pos="1260"/>
        </w:tabs>
        <w:ind w:firstLine="482" w:firstLineChars="200"/>
        <w:rPr>
          <w:rFonts w:ascii="宋体" w:hAnsi="宋体" w:cs="宋体"/>
          <w:b/>
          <w:sz w:val="24"/>
        </w:rPr>
      </w:pPr>
      <w:r>
        <w:rPr>
          <w:rFonts w:hint="eastAsia" w:ascii="宋体" w:hAnsi="宋体" w:cs="宋体"/>
          <w:b/>
          <w:sz w:val="24"/>
        </w:rPr>
        <w:t>（四）包装和发运</w:t>
      </w:r>
    </w:p>
    <w:p>
      <w:pPr>
        <w:tabs>
          <w:tab w:val="left" w:pos="312"/>
          <w:tab w:val="left" w:pos="425"/>
          <w:tab w:val="left" w:pos="1260"/>
        </w:tabs>
        <w:ind w:firstLine="480" w:firstLineChars="200"/>
        <w:rPr>
          <w:rFonts w:ascii="宋体" w:hAnsi="宋体" w:cs="宋体"/>
          <w:sz w:val="24"/>
        </w:rPr>
      </w:pPr>
      <w:r>
        <w:rPr>
          <w:rFonts w:ascii="宋体" w:hAnsi="宋体" w:cs="宋体"/>
          <w:sz w:val="24"/>
        </w:rPr>
        <w:t>1.</w:t>
      </w:r>
      <w:r>
        <w:rPr>
          <w:rFonts w:hint="eastAsia" w:ascii="宋体" w:hAnsi="宋体" w:cs="宋体"/>
          <w:sz w:val="24"/>
        </w:rPr>
        <w:t>货物的包装和发运必须符合货物特性要求。</w:t>
      </w:r>
    </w:p>
    <w:p>
      <w:pPr>
        <w:tabs>
          <w:tab w:val="left" w:pos="312"/>
          <w:tab w:val="left" w:pos="425"/>
          <w:tab w:val="left" w:pos="1260"/>
        </w:tabs>
        <w:ind w:firstLine="480" w:firstLineChars="200"/>
        <w:rPr>
          <w:rFonts w:ascii="宋体" w:hAnsi="宋体" w:cs="宋体"/>
          <w:sz w:val="24"/>
        </w:rPr>
      </w:pPr>
      <w:r>
        <w:rPr>
          <w:rFonts w:ascii="宋体" w:hAnsi="宋体" w:cs="宋体"/>
          <w:sz w:val="24"/>
        </w:rPr>
        <w:t>2.</w:t>
      </w:r>
      <w:r>
        <w:rPr>
          <w:rFonts w:hint="eastAsia" w:ascii="宋体" w:hAnsi="宋体" w:cs="宋体"/>
          <w:sz w:val="24"/>
        </w:rPr>
        <w:t>为了保证货物在长途运输和装卸过程中的安全，货物包装应符合国家或行业标准规定。由于包装不善导致货物锈蚀、失缺或损坏，由供货商承担一切责任。</w:t>
      </w:r>
    </w:p>
    <w:p>
      <w:pPr>
        <w:tabs>
          <w:tab w:val="left" w:pos="312"/>
          <w:tab w:val="left" w:pos="425"/>
          <w:tab w:val="left" w:pos="1260"/>
        </w:tabs>
        <w:ind w:firstLine="482" w:firstLineChars="200"/>
        <w:rPr>
          <w:rFonts w:ascii="宋体" w:hAnsi="宋体" w:cs="宋体"/>
          <w:b/>
          <w:sz w:val="24"/>
        </w:rPr>
      </w:pPr>
      <w:r>
        <w:rPr>
          <w:rFonts w:hint="eastAsia" w:ascii="宋体" w:hAnsi="宋体" w:cs="宋体"/>
          <w:b/>
          <w:sz w:val="24"/>
        </w:rPr>
        <w:t>（五）结算及付款方式（验收合格）</w:t>
      </w:r>
    </w:p>
    <w:p>
      <w:pPr>
        <w:tabs>
          <w:tab w:val="left" w:pos="312"/>
          <w:tab w:val="left" w:pos="425"/>
          <w:tab w:val="left" w:pos="1260"/>
        </w:tabs>
        <w:ind w:firstLine="480" w:firstLineChars="200"/>
        <w:rPr>
          <w:rFonts w:ascii="宋体" w:hAnsi="宋体" w:cs="宋体"/>
          <w:sz w:val="24"/>
        </w:rPr>
      </w:pPr>
      <w:r>
        <w:rPr>
          <w:rFonts w:ascii="宋体" w:hAnsi="宋体" w:cs="宋体"/>
          <w:sz w:val="24"/>
        </w:rPr>
        <w:t>1.</w:t>
      </w:r>
      <w:r>
        <w:rPr>
          <w:rFonts w:hint="eastAsia" w:ascii="宋体" w:hAnsi="宋体" w:cs="宋体"/>
          <w:sz w:val="24"/>
        </w:rPr>
        <w:t>采购人与中标人双方对货物进行验收合格后，中标人向采购人提供项目结算书，合同款结算以采购人最后审核结果为准，货物验收结算数量按现场实际完成数量计算（不含项目实施环节的损耗，损耗在报价单价中考虑）。</w:t>
      </w:r>
    </w:p>
    <w:p>
      <w:pPr>
        <w:tabs>
          <w:tab w:val="left" w:pos="312"/>
          <w:tab w:val="left" w:pos="425"/>
          <w:tab w:val="left" w:pos="1260"/>
        </w:tabs>
        <w:ind w:firstLine="480" w:firstLineChars="200"/>
        <w:rPr>
          <w:rFonts w:ascii="宋体" w:hAnsi="宋体" w:cs="宋体"/>
          <w:sz w:val="24"/>
        </w:rPr>
      </w:pPr>
      <w:r>
        <w:rPr>
          <w:rFonts w:ascii="宋体" w:hAnsi="宋体" w:cs="宋体"/>
          <w:sz w:val="24"/>
        </w:rPr>
        <w:t>2.</w:t>
      </w:r>
      <w:r>
        <w:rPr>
          <w:rFonts w:hint="eastAsia" w:ascii="宋体" w:hAnsi="宋体" w:cs="宋体"/>
          <w:sz w:val="24"/>
        </w:rPr>
        <w:t>中标价即为合同价，最后结算金额不得超过合同价。</w:t>
      </w:r>
    </w:p>
    <w:p>
      <w:pPr>
        <w:tabs>
          <w:tab w:val="left" w:pos="312"/>
          <w:tab w:val="left" w:pos="425"/>
          <w:tab w:val="left" w:pos="1260"/>
        </w:tabs>
        <w:ind w:firstLine="480" w:firstLineChars="200"/>
        <w:rPr>
          <w:rFonts w:ascii="宋体" w:hAnsi="宋体" w:cs="宋体"/>
          <w:sz w:val="24"/>
        </w:rPr>
      </w:pPr>
      <w:r>
        <w:rPr>
          <w:rFonts w:ascii="宋体" w:hAnsi="宋体" w:cs="宋体"/>
          <w:sz w:val="24"/>
        </w:rPr>
        <w:t>3.</w:t>
      </w:r>
      <w:r>
        <w:rPr>
          <w:rFonts w:hint="eastAsia" w:ascii="宋体" w:hAnsi="宋体" w:cs="宋体"/>
          <w:sz w:val="24"/>
        </w:rPr>
        <w:t>中标人按采购人最后审核金额开具增值税专用发票给采购人作为报账凭证。</w:t>
      </w:r>
    </w:p>
    <w:p>
      <w:pPr>
        <w:tabs>
          <w:tab w:val="left" w:pos="312"/>
          <w:tab w:val="left" w:pos="425"/>
          <w:tab w:val="left" w:pos="1260"/>
        </w:tabs>
        <w:ind w:firstLine="480" w:firstLineChars="200"/>
        <w:rPr>
          <w:rFonts w:ascii="宋体" w:hAnsi="宋体" w:cs="宋体"/>
          <w:sz w:val="24"/>
        </w:rPr>
      </w:pPr>
      <w:r>
        <w:rPr>
          <w:rFonts w:ascii="宋体" w:hAnsi="宋体" w:cs="宋体"/>
          <w:sz w:val="24"/>
        </w:rPr>
        <w:t>4.</w:t>
      </w:r>
      <w:r>
        <w:rPr>
          <w:rFonts w:hint="eastAsia" w:ascii="宋体" w:hAnsi="宋体" w:cs="宋体"/>
          <w:sz w:val="24"/>
        </w:rPr>
        <w:t>中标人在货款结算时需交纳合同结算总金额5%的保修保证金给采购人，中标人在质保期间能履行保修条款及服务承诺，质保期满，采购人即不计利息返还其保修保证金。</w:t>
      </w:r>
    </w:p>
    <w:p>
      <w:pPr>
        <w:tabs>
          <w:tab w:val="left" w:pos="312"/>
          <w:tab w:val="left" w:pos="425"/>
          <w:tab w:val="left" w:pos="1260"/>
        </w:tabs>
        <w:ind w:firstLine="480" w:firstLineChars="200"/>
        <w:rPr>
          <w:rFonts w:ascii="宋体" w:hAnsi="宋体" w:cs="宋体"/>
          <w:sz w:val="24"/>
        </w:rPr>
      </w:pPr>
      <w:r>
        <w:rPr>
          <w:rFonts w:ascii="宋体" w:hAnsi="宋体" w:cs="宋体"/>
          <w:sz w:val="24"/>
        </w:rPr>
        <w:t>5.</w:t>
      </w:r>
      <w:r>
        <w:rPr>
          <w:rFonts w:hint="eastAsia" w:ascii="宋体" w:hAnsi="宋体" w:cs="宋体"/>
          <w:sz w:val="24"/>
        </w:rPr>
        <w:t>收到报账凭证及保修保证金后，采购人在十个工作日内完成办理相关规定的支付手续。</w:t>
      </w:r>
    </w:p>
    <w:p>
      <w:pPr>
        <w:tabs>
          <w:tab w:val="left" w:pos="312"/>
          <w:tab w:val="left" w:pos="425"/>
          <w:tab w:val="left" w:pos="1260"/>
        </w:tabs>
        <w:ind w:firstLine="482" w:firstLineChars="200"/>
        <w:rPr>
          <w:rFonts w:ascii="宋体" w:hAnsi="宋体" w:cs="宋体"/>
          <w:b/>
          <w:sz w:val="24"/>
        </w:rPr>
      </w:pPr>
      <w:r>
        <w:rPr>
          <w:rFonts w:hint="eastAsia" w:ascii="宋体" w:hAnsi="宋体" w:cs="宋体"/>
          <w:b/>
          <w:sz w:val="24"/>
        </w:rPr>
        <w:t>五、合同样本</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合同样本见附件。</w:t>
      </w:r>
    </w:p>
    <w:p>
      <w:pPr>
        <w:widowControl/>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w:t>
      </w:r>
    </w:p>
    <w:p>
      <w:pPr>
        <w:jc w:val="center"/>
        <w:rPr>
          <w:rFonts w:ascii="方正小标宋简体" w:eastAsia="方正小标宋简体" w:hAnsiTheme="minorEastAsia"/>
          <w:sz w:val="32"/>
          <w:szCs w:val="32"/>
        </w:rPr>
      </w:pPr>
      <w:r>
        <w:rPr>
          <w:rFonts w:hint="eastAsia" w:ascii="方正小标宋简体" w:eastAsia="方正小标宋简体" w:hAnsiTheme="minorEastAsia"/>
          <w:sz w:val="32"/>
          <w:szCs w:val="32"/>
        </w:rPr>
        <w:t>广州南方学院图书馆视频监控建设项目采购合同</w:t>
      </w:r>
    </w:p>
    <w:p>
      <w:pPr>
        <w:jc w:val="center"/>
        <w:rPr>
          <w:rFonts w:ascii="方正小标宋简体" w:eastAsia="方正小标宋简体" w:hAnsiTheme="minorEastAsia"/>
          <w:sz w:val="32"/>
          <w:szCs w:val="32"/>
        </w:rPr>
      </w:pPr>
      <w:r>
        <w:rPr>
          <w:rFonts w:hint="eastAsia" w:ascii="方正小标宋简体" w:eastAsia="方正小标宋简体" w:hAnsiTheme="minorEastAsia"/>
          <w:sz w:val="32"/>
          <w:szCs w:val="32"/>
        </w:rPr>
        <w:t>（参考）</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甲方：</w:t>
      </w:r>
      <w:r>
        <w:rPr>
          <w:rFonts w:hint="eastAsia" w:asciiTheme="minorEastAsia" w:hAnsiTheme="minorEastAsia" w:eastAsiaTheme="minorEastAsia"/>
          <w:sz w:val="24"/>
          <w:szCs w:val="24"/>
          <w:u w:val="single"/>
        </w:rPr>
        <w:t xml:space="preserve">广州南方学院 </w:t>
      </w:r>
      <w:r>
        <w:rPr>
          <w:rFonts w:asciiTheme="minorEastAsia" w:hAnsiTheme="minorEastAsia" w:eastAsiaTheme="minorEastAsia"/>
          <w:sz w:val="24"/>
          <w:szCs w:val="24"/>
          <w:u w:val="single"/>
        </w:rPr>
        <w:t xml:space="preserve">      </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p>
    <w:p>
      <w:pPr>
        <w:tabs>
          <w:tab w:val="left" w:pos="840"/>
        </w:tabs>
        <w:ind w:firstLine="480" w:firstLineChars="200"/>
        <w:rPr>
          <w:rFonts w:ascii="宋体" w:hAnsi="宋体" w:cs="宋体"/>
          <w:sz w:val="24"/>
        </w:rPr>
      </w:pPr>
    </w:p>
    <w:p>
      <w:pPr>
        <w:tabs>
          <w:tab w:val="left" w:pos="840"/>
        </w:tabs>
        <w:ind w:firstLine="480" w:firstLineChars="200"/>
        <w:rPr>
          <w:rFonts w:ascii="宋体" w:hAnsi="宋体" w:cs="宋体"/>
          <w:sz w:val="24"/>
        </w:rPr>
      </w:pPr>
      <w:r>
        <w:rPr>
          <w:rFonts w:hint="eastAsia" w:ascii="宋体" w:hAnsi="宋体" w:cs="宋体"/>
          <w:sz w:val="24"/>
        </w:rPr>
        <w:t>根据《中华人民共和国合同法》、 “广州南方学院图书馆视频监控建设项目”（采购编号：</w:t>
      </w:r>
      <w:r>
        <w:rPr>
          <w:rFonts w:ascii="宋体" w:hAnsi="宋体" w:cs="宋体"/>
          <w:sz w:val="24"/>
        </w:rPr>
        <w:t xml:space="preserve">    </w:t>
      </w:r>
      <w:r>
        <w:rPr>
          <w:rFonts w:hint="eastAsia" w:ascii="宋体" w:hAnsi="宋体" w:cs="宋体"/>
          <w:sz w:val="24"/>
        </w:rPr>
        <w:t>）招标文件的要求和招标结果，经甲乙双方协商一致，签订本合同。双方共同遵守如下条款（其他有关合同项目的特定信息由合同附件予以说明，合同附件及本项目的招标文件、投标文件等均为本合同不可分割之一部分）：</w:t>
      </w:r>
    </w:p>
    <w:p>
      <w:pPr>
        <w:tabs>
          <w:tab w:val="left" w:pos="840"/>
        </w:tabs>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一、合同标的</w:t>
      </w:r>
    </w:p>
    <w:p>
      <w:pPr>
        <w:tabs>
          <w:tab w:val="left" w:pos="840"/>
        </w:tabs>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1.本合同标的为</w:t>
      </w:r>
      <w:r>
        <w:rPr>
          <w:rFonts w:hint="eastAsia" w:ascii="宋体" w:hAnsi="宋体" w:cs="宋体"/>
          <w:sz w:val="24"/>
        </w:rPr>
        <w:t>广州南方学院图书馆视频监控建设项目</w:t>
      </w:r>
      <w:r>
        <w:rPr>
          <w:rFonts w:hint="eastAsia" w:asciiTheme="minorEastAsia" w:hAnsiTheme="minorEastAsia" w:eastAsiaTheme="minorEastAsia"/>
          <w:sz w:val="24"/>
          <w:szCs w:val="24"/>
        </w:rPr>
        <w:t>。</w:t>
      </w:r>
    </w:p>
    <w:p>
      <w:pPr>
        <w:tabs>
          <w:tab w:val="left" w:pos="840"/>
        </w:tabs>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2.货物名称、制造商、型号、产地、数量单位、单价总价（单位：人民币）等见下表，配置清单见附件1，技术参数详见附件2。</w:t>
      </w:r>
    </w:p>
    <w:tbl>
      <w:tblPr>
        <w:tblStyle w:val="17"/>
        <w:tblW w:w="89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276"/>
        <w:gridCol w:w="982"/>
        <w:gridCol w:w="1154"/>
        <w:gridCol w:w="688"/>
        <w:gridCol w:w="594"/>
        <w:gridCol w:w="573"/>
        <w:gridCol w:w="1088"/>
        <w:gridCol w:w="1148"/>
        <w:gridCol w:w="688"/>
        <w:gridCol w:w="2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21" w:type="dxa"/>
          <w:trHeight w:val="424" w:hRule="atLeast"/>
          <w:jc w:val="center"/>
        </w:trPr>
        <w:tc>
          <w:tcPr>
            <w:tcW w:w="694" w:type="dxa"/>
            <w:tcBorders>
              <w:top w:val="double" w:color="auto" w:sz="4" w:space="0"/>
              <w:left w:val="double" w:color="auto" w:sz="4" w:space="0"/>
              <w:bottom w:val="single" w:color="auto" w:sz="6"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序号</w:t>
            </w:r>
          </w:p>
        </w:tc>
        <w:tc>
          <w:tcPr>
            <w:tcW w:w="1276"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货物名称</w:t>
            </w:r>
          </w:p>
        </w:tc>
        <w:tc>
          <w:tcPr>
            <w:tcW w:w="982"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制造商</w:t>
            </w:r>
          </w:p>
        </w:tc>
        <w:tc>
          <w:tcPr>
            <w:tcW w:w="1154"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型号</w:t>
            </w:r>
          </w:p>
        </w:tc>
        <w:tc>
          <w:tcPr>
            <w:tcW w:w="688"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产地</w:t>
            </w:r>
          </w:p>
        </w:tc>
        <w:tc>
          <w:tcPr>
            <w:tcW w:w="594"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数量</w:t>
            </w:r>
          </w:p>
        </w:tc>
        <w:tc>
          <w:tcPr>
            <w:tcW w:w="573"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单位</w:t>
            </w:r>
          </w:p>
        </w:tc>
        <w:tc>
          <w:tcPr>
            <w:tcW w:w="1088" w:type="dxa"/>
            <w:tcBorders>
              <w:top w:val="double" w:color="auto" w:sz="4" w:space="0"/>
              <w:left w:val="single" w:color="auto" w:sz="6" w:space="0"/>
              <w:bottom w:val="single" w:color="auto" w:sz="4"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单价（￥</w:t>
            </w:r>
            <w:r>
              <w:rPr>
                <w:rFonts w:hint="eastAsia" w:ascii="Tahoma" w:hAnsi="Tahoma" w:cs="Tahoma"/>
                <w:bCs/>
                <w:sz w:val="24"/>
                <w:szCs w:val="24"/>
              </w:rPr>
              <w:t>）</w:t>
            </w:r>
          </w:p>
        </w:tc>
        <w:tc>
          <w:tcPr>
            <w:tcW w:w="1148" w:type="dxa"/>
            <w:tcBorders>
              <w:top w:val="double" w:color="auto" w:sz="4" w:space="0"/>
              <w:left w:val="single" w:color="auto" w:sz="6" w:space="0"/>
              <w:bottom w:val="single" w:color="auto" w:sz="4"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总价（￥）</w:t>
            </w:r>
          </w:p>
        </w:tc>
        <w:tc>
          <w:tcPr>
            <w:tcW w:w="688" w:type="dxa"/>
            <w:tcBorders>
              <w:top w:val="double" w:color="auto" w:sz="4" w:space="0"/>
              <w:left w:val="single" w:color="auto" w:sz="6" w:space="0"/>
              <w:bottom w:val="single" w:color="auto" w:sz="4" w:space="0"/>
              <w:right w:val="double" w:color="auto" w:sz="4" w:space="0"/>
            </w:tcBorders>
            <w:vAlign w:val="center"/>
          </w:tcPr>
          <w:p>
            <w:pPr>
              <w:jc w:val="center"/>
              <w:rPr>
                <w:rFonts w:ascii="宋体" w:hAnsi="宋体"/>
                <w:bCs/>
                <w:sz w:val="24"/>
                <w:szCs w:val="24"/>
              </w:rPr>
            </w:pPr>
            <w:r>
              <w:rPr>
                <w:rFonts w:hint="eastAsia" w:ascii="宋体" w:hAnsi="宋体"/>
                <w:bCs/>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21" w:type="dxa"/>
          <w:trHeight w:val="697" w:hRule="atLeast"/>
          <w:jc w:val="center"/>
        </w:trPr>
        <w:tc>
          <w:tcPr>
            <w:tcW w:w="69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AdobeSongStd-Light"/>
                <w:sz w:val="24"/>
                <w:szCs w:val="24"/>
              </w:rPr>
            </w:pPr>
            <w:r>
              <w:rPr>
                <w:rFonts w:hint="eastAsia" w:ascii="宋体" w:hAnsi="宋体" w:cs="AdobeSongStd-Light"/>
                <w:sz w:val="24"/>
                <w:szCs w:val="24"/>
              </w:rPr>
              <w:t>1</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dobeSongStd-Light"/>
                <w:sz w:val="24"/>
                <w:szCs w:val="24"/>
              </w:rPr>
            </w:pPr>
          </w:p>
        </w:tc>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dobeSongStd-Light"/>
                <w:sz w:val="24"/>
                <w:szCs w:val="24"/>
              </w:rPr>
            </w:pPr>
          </w:p>
        </w:tc>
        <w:tc>
          <w:tcPr>
            <w:tcW w:w="11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dobeSongStd-Light"/>
                <w:sz w:val="24"/>
                <w:szCs w:val="24"/>
              </w:rPr>
            </w:pPr>
          </w:p>
        </w:tc>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dobeSongStd-Light"/>
                <w:sz w:val="24"/>
                <w:szCs w:val="24"/>
              </w:rPr>
            </w:pPr>
          </w:p>
        </w:tc>
        <w:tc>
          <w:tcPr>
            <w:tcW w:w="5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dobeSongStd-Light"/>
                <w:sz w:val="24"/>
                <w:szCs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dobeSongStd-Light"/>
                <w:sz w:val="24"/>
                <w:szCs w:val="24"/>
              </w:rPr>
            </w:pPr>
          </w:p>
        </w:tc>
        <w:tc>
          <w:tcPr>
            <w:tcW w:w="1088" w:type="dxa"/>
            <w:tcBorders>
              <w:top w:val="single" w:color="auto" w:sz="6" w:space="0"/>
              <w:left w:val="single" w:color="auto" w:sz="6" w:space="0"/>
              <w:bottom w:val="single" w:color="auto" w:sz="6" w:space="0"/>
              <w:right w:val="single" w:color="auto" w:sz="6" w:space="0"/>
            </w:tcBorders>
            <w:vAlign w:val="center"/>
          </w:tcPr>
          <w:p>
            <w:pPr>
              <w:rPr>
                <w:rFonts w:ascii="宋体" w:hAnsi="宋体" w:cs="AdobeSongStd-Light"/>
                <w:sz w:val="24"/>
                <w:szCs w:val="24"/>
              </w:rPr>
            </w:pPr>
          </w:p>
        </w:tc>
        <w:tc>
          <w:tcPr>
            <w:tcW w:w="1148" w:type="dxa"/>
            <w:tcBorders>
              <w:top w:val="single" w:color="auto" w:sz="6" w:space="0"/>
              <w:left w:val="single" w:color="auto" w:sz="6" w:space="0"/>
              <w:bottom w:val="single" w:color="auto" w:sz="4" w:space="0"/>
              <w:right w:val="single" w:color="auto" w:sz="6" w:space="0"/>
            </w:tcBorders>
            <w:vAlign w:val="center"/>
          </w:tcPr>
          <w:p>
            <w:pPr>
              <w:rPr>
                <w:rFonts w:ascii="宋体" w:hAnsi="宋体" w:cs="AdobeSongStd-Light"/>
                <w:sz w:val="24"/>
                <w:szCs w:val="24"/>
              </w:rPr>
            </w:pPr>
          </w:p>
        </w:tc>
        <w:tc>
          <w:tcPr>
            <w:tcW w:w="688" w:type="dxa"/>
            <w:tcBorders>
              <w:top w:val="single" w:color="auto" w:sz="6" w:space="0"/>
              <w:left w:val="single" w:color="auto" w:sz="6" w:space="0"/>
              <w:bottom w:val="single" w:color="auto" w:sz="4" w:space="0"/>
              <w:right w:val="double" w:color="auto" w:sz="4" w:space="0"/>
            </w:tcBorders>
            <w:vAlign w:val="center"/>
          </w:tcPr>
          <w:p>
            <w:pPr>
              <w:jc w:val="center"/>
              <w:rPr>
                <w:rFonts w:ascii="宋体" w:hAnsi="宋体" w:cs="AdobeSongStd-Light"/>
                <w:sz w:val="24"/>
                <w:szCs w:val="24"/>
              </w:rPr>
            </w:pPr>
            <w:r>
              <w:rPr>
                <w:rFonts w:hint="eastAsia" w:ascii="宋体" w:hAnsi="宋体" w:cs="AdobeSongStd-Light"/>
                <w:sz w:val="24"/>
                <w:szCs w:val="24"/>
              </w:rPr>
              <w:t>含税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906" w:type="dxa"/>
            <w:gridSpan w:val="11"/>
            <w:tcBorders>
              <w:top w:val="single" w:color="auto" w:sz="6" w:space="0"/>
              <w:left w:val="double" w:color="auto" w:sz="4" w:space="0"/>
              <w:bottom w:val="double" w:color="auto" w:sz="4" w:space="0"/>
              <w:right w:val="double" w:color="auto" w:sz="4" w:space="0"/>
            </w:tcBorders>
            <w:vAlign w:val="center"/>
          </w:tcPr>
          <w:p>
            <w:pPr>
              <w:jc w:val="right"/>
              <w:rPr>
                <w:rFonts w:ascii="宋体" w:hAnsi="宋体"/>
                <w:bCs/>
                <w:sz w:val="24"/>
                <w:szCs w:val="24"/>
              </w:rPr>
            </w:pPr>
            <w:r>
              <w:rPr>
                <w:rFonts w:hint="eastAsia" w:ascii="仿宋" w:hAnsi="仿宋" w:eastAsia="仿宋" w:cs="仿宋"/>
                <w:bCs/>
                <w:sz w:val="24"/>
                <w:szCs w:val="24"/>
              </w:rPr>
              <w:t>合计：人民币X佰X拾X万元整(￥</w:t>
            </w:r>
            <w:r>
              <w:rPr>
                <w:iCs/>
                <w:sz w:val="24"/>
                <w:szCs w:val="24"/>
              </w:rPr>
              <w:t>****.00</w:t>
            </w:r>
            <w:r>
              <w:rPr>
                <w:rFonts w:hint="eastAsia"/>
                <w:iCs/>
                <w:sz w:val="24"/>
                <w:szCs w:val="24"/>
              </w:rPr>
              <w:t>元</w:t>
            </w:r>
            <w:r>
              <w:rPr>
                <w:rFonts w:hint="eastAsia" w:ascii="仿宋" w:hAnsi="仿宋" w:eastAsia="仿宋" w:cs="仿宋"/>
                <w:bCs/>
                <w:sz w:val="24"/>
                <w:szCs w:val="24"/>
              </w:rPr>
              <w:t>)</w:t>
            </w:r>
          </w:p>
        </w:tc>
      </w:tr>
    </w:tbl>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二、合同金额</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1.合同总价为人民币X佰X拾X万元整(¥****.00元)。</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总价为货到广州南方学院校内甲方指定地点含税全包价，合同金额包含但不限于乙方设计、制造、包装、仓储、运输、保险（至货物运抵使用单位放置、拆箱、就位）、装卸、搬运、安装调试、随机零配件、标配工具、验收、培训、技术服务（包括技术资料、图纸的提供）、质保期服务、各项税费及合同实施过程中可预见及不可预见费用等的全部费用。</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3.除本合同明确约定的费用外，甲方无需支付本合同项下任何额外费用。</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三、货物质量标准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1.乙方提供的货物为全新的、未使用过的原厂原包装产品（含零部件、配件、随机工具、技术文件等），具出厂合格证，序列号、包装箱号与出厂批号一致，可追索查阅，进货渠道合法。</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2.货物包装必须与合同约定相符，包装外观完好、无破损，货物洁净完好、无划痕、无凹陷、无褪色、无锈迹。</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3.实际到货的货物名称、数量、品牌、型号、规格、配置、产地等信息须与合同一致。</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4.货物性能参数及技术指标必须与招标文件要求及投标文件响应的内容相符，并达到中华人民共和国国家相关标准及行业标准。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5.进口产品必须具备原产地证明和商检局的检验证明。</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6.因货物的质量问题发生争议，由广东省或广州市商检部门进行质量鉴定。货物符合质量标准的，鉴定费由甲方承担；货物不符合质量标准的，鉴定费由乙方承担。</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四、包装</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1.包装必须与运输方式相适应，包装方式的确定及包装费用均由乙方负责；由于不适当的包装而造成货物在运输过程中有任何损坏、丢失由乙方负责。</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2.包装应足以承受整个过程中的运输、转运、装缷、储存等，充分考虑到运输途中的各种情况（如暴露于恶劣气候等），以及露天存放的需要。</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3.专用工具及备品备件应分别包装，并在包装箱外加以注明其用处。</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4.包装外观应标明总包装数、包装编号、毛重、净重、尺寸、体积等相关包装信息。</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5.外包装应贴上能证明货物状态及来龙去脉的标签，至少须注明合同编号、货物名称、货物数量、发货人、始发地、承运人、运输方式、收货人、目的地等信息。</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6.外包装应附上货物清单，注明包装内货物的名称和数量。</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7.精密仪器应在外包装贴上小心轻放、防火、防雨淋、防雷、防震、防倒置等提醒注意的标志。易燃、易爆、有毒、含辐射等危险物品应贴上安全标识。</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五、运输、装卸、仓储</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1.乙方负责将货物送达并交付甲方使用的全过程的装卸、运输、仓储等的一切事宜。</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装卸、运输、仓储过程应充分考虑可能遇到的各种情况，避免货物遭受暴晒、浸泡、碰撞、挤压、剧烈震荡等伤害，注意防火、防盗、防爆、防雷击，保证货物完好，不被丢失、损坏、损毁或灭失。乙方在保证货物财产安全的同时，还须注意人员安全，避免危害他人身体健康和造成人员伤亡情况的发生。如在上述装卸、运输、仓储过程中出现任何货物损坏、损毁、丢失、灭失或人员伤亡等情况，一切责任由乙方承担。</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3.在充分保证货物财产安全的前提下，乙方应选择快捷高效的运输途径，尽量减少货物中转、装卸的次数。</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4.如委托第三方运输货物的，乙方须全程跟踪，不得任由承运人随意处置货物。</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5.货物抵达甲方收货地点进行卸货作业时，不得损坏甲方电梯、墙体、家具、用具等物品，如有对甲方造成财产损失的，乙方须赔偿甲方全部损失。</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六、交货</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1.合同交货期：合同签订后**天内完成交货及安装、调试达验收合格标准。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2.交货地点：广州南方学院校内甲方指定地点。</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3.甲方收货联系人：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；联系电话（手机）：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；电子邮箱：</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4.乙方送货联系人：；联系电话（手机）：；电子邮箱：。</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送货及开箱点货：</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（1）送货前，乙方应提前通知甲方并安排好送货及开箱点货的时间。</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（2）乙方应将货物运送到甲方指定的交货地点，并于货物抵达当天与甲方共同开箱清点货物。如因特殊原因不能于送货当天开箱验货的，则货物在甲方地点存放期间发生的货物灭失的风险由乙方承担。</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交货时，甲乙双方须共同派员参加，经清点无误后由甲方签收，同时双方对交货状况拍照留存。若乙方不派员参加开箱的，视同乙方完全接受甲方开箱检验清点的所有结果，并负责解决开箱检验清点发现的问题和赔偿。</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（4）乙方提供的送货单上须注明合同编号、货物名称、包装数量、外包装是否完好、外包装尺寸（体积）、重量等信息。</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（5）乙方应将合同货物的产品序列号、用户手册、技术资料（包括设备说明书、使用手册和其它相关技术资料）及配件、随机工具等一并交付给甲方。</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（6）开箱时，双方共同检验货物表面状况，核对货物名称、制造商、型号、规格、产地等信息，清点货物及配置数量。</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（7）交货时，如发现货物外包装有破损、被撞击的痕迹，或货物数量不足的，甲方有权拒收，按未交货处理。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（8）若开箱时发现有缺少货物的，乙方应在合同交货期内补足缺少的货物。乙方须保证补发的货物进货渠道合法，进口产品须具备原厂合格证和原产地证明以及进口海关商检部门出具的检验证明。</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甲方接收乙方交货及开箱清点不视为对乙方提供货物质量的认可，甲方收货后发现乙方提供的货物不符合本合同约定的质量标准，有权要求乙方更换，直至符合本合同约定的质量标准。因乙方提供的货物不符合本合同约定的质量标准给甲方造成损失的，由乙方负责赔偿。</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七、安装、调试、试运行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1.货物到达甲方使用现场、开箱清点无误后，10日内或甲方另行要求的时间内，由乙方负责完成货物的现场安装、调试、正常启动。</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应派专业的技术人员上门安装、调试。乙方技术人员应按照投标文件提供的技术方案和行业操作规范对货物进行安装、调试作业。乙方在甲方现场安装调试期间须遵守甲方相关管理规定，遵守甲方作息时间，避免出现噪声扰民、造成环境污染等问题，不得损坏、损毁甲方物品。如造成甲方财产损失的，责任由乙方承担。</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3.乙方将货物安装、调试完毕，正常启动后，进入试运行阶段。</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4.货物试运行期间如出现故障，乙方应立即进行处理。如故障无法修复，应作退/换货处理。由此产生的费用由乙方承担。</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八、培训</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试运行期间，乙方负责根据投标文件提供的培训方案和行业规范向甲方至少2名人员进行现场培训，培训内容至少包括货物现场操作使用、运行、维护、修理等相关课程，提供必需的培训资料、完整的仪器操作和维护手册等。</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2.培训费用全部包含在合同总价中，甲方不再支付任何费用。</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九、合同验收</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1.乙方完成安装、调试、培训，试运行正常后，向甲方提交书面验收通知，甲方（使用单位或货物管理部门）在收到验收通知后15天内组织验收。</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2.乙方应在验收前，向甲方提供按本合同的技术规格、技术规范的要求进行的测试与验收方案，验收以招投标文件、合同技术规格、产品技术说明、货物生产国相关标准等为准。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3.验收未能通过的，乙方负责在7天内完成整改。若整改后仍未能合格的，甲方有权单方终止本合同并要求乙方退还已支付款项。因乙方整改原因导致逾期完成安装调试验收通过的，由乙方承担相应责任。</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验收合格后双方共同签署《广州南方学院物资采购质量验收表》，验收合格日期以最后的签字日为准。甲方验收合格的结果仅视为货物在外观、数量、型号、规格上符合约定的证明，检验合格文件的签署不使甲方丧失因质量问题而向乙方索赔和求偿的权利，同时不免除乙方对于货物质量缺陷或瑕疵负有的相应责任。</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十、付款</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1.乙方在签订合同后10个工作日内，向采购人交纳合同总价的3%作为履约保证金，并提交首期款的请款申请文件和增值税专用发票，甲方在10个工作日内支付合同总价的40%作为备货款。</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2.货物全部到达施工现场，并经甲方确认后，乙方提交请款申请文件和增值税专用发票，甲方确认后支付合同总价的30%。</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项目竣工验收合格后，项目结算经甲方审核确定后，乙方递交完整的工程施工及验收资料，乙方提交请款申请文件和增值税专用发票，甲方支付工程结算核定金额的尾款。同时，乙方交纳的履约保证金自动转为质保金。</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4.在项目质保期（项目验收起1年）满后，如质保期内无解决事项或无扣减项，甲方在10个工作日内将质保金一次性付清给乙方（不计利息）。</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5.采购人每次付款前，成交供应商应提供正规等额增值税专用发票给采购人，如国家税率有调整，按照国家最新增值税税率政策同步执行。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6.乙方指定以下账户为唯一收款账户：</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账户名称：</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向上述账户汇出款项或向有关部门递交款项申请后，即视为已履行付款义务，在汇款过程中，因乙方账户的原因（包括但不限于账号被注销、被冻结等）导致其无法收取款项的，由乙方承担相应后果。如乙方存在违约行为，甲方有权直接在应付费用中扣除乙方应承担违约金或赔偿金等等。</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7.若按照上级主管部门要求，采购人需要报送上级部门进行结算复审，同时需调整2、3条款的付款进度，中标方需无条件接受。</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十一、售后服务</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1.质保期：乙方就本合同所有货物提供原厂免费上门全质保</w:t>
      </w:r>
      <w:r>
        <w:rPr>
          <w:rFonts w:asciiTheme="minorEastAsia" w:hAnsiTheme="minorEastAsia" w:eastAsiaTheme="minorEastAsia"/>
          <w:sz w:val="24"/>
          <w:szCs w:val="24"/>
        </w:rPr>
        <w:t>3</w:t>
      </w:r>
      <w:r>
        <w:rPr>
          <w:rFonts w:hint="eastAsia" w:asciiTheme="minorEastAsia" w:hAnsiTheme="minorEastAsia" w:eastAsiaTheme="minorEastAsia"/>
          <w:sz w:val="24"/>
          <w:szCs w:val="24"/>
        </w:rPr>
        <w:t>年，软件终身免费升级，质保期自甲乙双方在《广州南方学院物资采购质量验收表》签字之日起计算。</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2.质保期内，乙方负责对其提供的货物上门进行硬件维修、软件维护和升级等免费服务，甲方不再支付任何费用，但人为因素或自然灾害造成的损坏除外。</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质保期内，乙方在接到甲方系统故障或问题告知后，4小时内进行电话响应排除故障，若电话中无法解决，24小时内到达现场排除故障。如果需要更换配件的，更换的配件跟被更换的品牌、类型相一致或者是同类更高档次的替代品，并且必须征得甲方管理人员同意。因货物故障停用的时间，保修期相应顺延。</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4.质保期内对故障的报修，如乙方未能做到上款的服务承诺，甲方可采取必要的补救措施，但其风险和费用由乙方承担，甲方根据合同规定对乙方行使的其它权利不受影响。</w:t>
      </w:r>
    </w:p>
    <w:p>
      <w:pPr>
        <w:ind w:firstLine="480" w:firstLineChars="200"/>
        <w:rPr>
          <w:rFonts w:ascii="宋体" w:hAnsi="宋体"/>
          <w:sz w:val="24"/>
          <w:szCs w:val="24"/>
        </w:rPr>
      </w:pPr>
      <w:r>
        <w:rPr>
          <w:rFonts w:hint="eastAsia" w:asciiTheme="minorEastAsia" w:hAnsiTheme="minorEastAsia" w:eastAsiaTheme="minorEastAsia"/>
          <w:sz w:val="24"/>
          <w:szCs w:val="24"/>
        </w:rPr>
        <w:t>5.</w:t>
      </w:r>
      <w:r>
        <w:rPr>
          <w:rFonts w:hint="eastAsia" w:ascii="宋体" w:hAnsi="宋体"/>
          <w:sz w:val="24"/>
          <w:szCs w:val="24"/>
        </w:rPr>
        <w:t xml:space="preserve">自质量保证期到期之日起，由供应商提供3年免费保修服务（按乙方投标时承诺的免费保修时间，如乙方不按照承诺的免费保修时间对该项目进行免费保修，甲方有权按照合同金额的5%向乙方索赔经济损失）。免费保修期届满后，如甲方需要乙方继续提供维护服务，由甲乙双方另行协商。 </w:t>
      </w:r>
    </w:p>
    <w:p>
      <w:pPr>
        <w:spacing w:line="420" w:lineRule="exact"/>
        <w:ind w:firstLine="480" w:firstLineChars="200"/>
        <w:rPr>
          <w:rFonts w:ascii="宋体" w:hAnsi="宋体"/>
          <w:sz w:val="24"/>
          <w:szCs w:val="24"/>
        </w:rPr>
      </w:pPr>
      <w:r>
        <w:rPr>
          <w:rFonts w:ascii="宋体" w:hAnsi="宋体"/>
          <w:sz w:val="24"/>
          <w:szCs w:val="24"/>
        </w:rPr>
        <w:t>6.</w:t>
      </w:r>
      <w:r>
        <w:rPr>
          <w:rFonts w:hint="eastAsia" w:ascii="宋体" w:hAnsi="宋体"/>
          <w:sz w:val="24"/>
          <w:szCs w:val="24"/>
        </w:rPr>
        <w:t>在质量保证期内出现产品质量问题，乙方应无条件更换甲方所需产品；若乙方不提供，甲方有权利按照合同金额的5%向乙方索赔经济损失。</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免费保修期满后，若有零部件出现故障，经权威部门鉴定属于寿命异常问题（明显短于该零部件正常寿命）时，则由乙方负责免费更换及维修。乙方负责终身维修，只收取材料费，不收维护和人工费用。</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十二、履约保证金</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1.乙方须于本合同签订前向甲方提交履约保证金，履约保证金金额为中标金额的5%，即人民币X万X仟X佰X元整（￥***.**元）。</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2.货物验收合格后，乙方凭经甲方使用单位盖章确认的《退还履约保证金申请函》（甲方版本）申请退款，甲方于收到乙方退款申请之日起十个工作日内一次性无息退还。</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3.提交履约保证金的形式：支票、电汇或银行保函（见索即付）等非现金方式。</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收款人：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开户行： </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帐号：</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用途：（填项目编号）履约保证金</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支票交纳地址： </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以银行保函形式提交履约保证金的，保函有效期应长于合同履行期。原则上国内供货设备保函有效期不少于合同生效之日起半年，免税进口设备保函有效期不少于合同生效之日起一年。如遇特殊情况在有效期内不能完成履约验收的，需提前15天办理保函延期手续。</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5.以银行保函形式提交履约保证金的，必须在合同签订前提交保函原件。</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十三、保密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2.除了合同本身之外，上款所列举的任何物件均是甲方的财产。如果甲方有要求，乙方在完成合同后应将这些物件及全部自制件还给甲方。</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十四、知识产权</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及制造商承诺对本合同标的具有合法的知识产权，保证甲方对产品的使用不侵犯任何第三方的合法权益。如受第三方提出的侵犯其专利权、商标权或其他知识产权的起诉或其他任何形式的索赔，由乙方对甲方进行赔偿并承担一切责任。</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2.乙方为执行本合同而提供的技术资料、软件的使用权归甲方所有。</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十五、产权与风险转移</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1.货物的产权在货物通过验收，合格交付甲方使用前均归属于乙方。</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2.因货物验收不合格甲方拒收，或双方已解除合同，货物毁损、灭失的风险由乙方承担。</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3.产权和风险的转移，不影响因乙方履行义务不符合约定导致甲方要求其承担违约责任的权利。</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十六、违约责任</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乙方未能依照本合同约定交付物品的，应向甲方支付合同总额5%的违约金，同时，已收取的甲方预付款需退还。因乙方未能交付物品给甲方造成损失的，乙方还应赔偿甲方损失。</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乙方交付的物品经乙方验收不合格或不符合本合同约定，甲方有权拒收，按乙方未能交付物品处置，交货期限不予顺延。</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甲方无正当理由拒收物品或拒付货款的，则向乙方支付合同总额5%的违约金，已收乙方物品的退还物品。</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乙方逾期交付物品（含逾期补足物品的），则每日按合同总额3‰向甲方偿付违约金，违约金总额不超过合同总金额的5%。逾期交付超过15天，甲方有权终止合同，按乙方未能交付物品处置，乙方向甲方支付合同总额5%的违约金。</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甲方无正当理由逾期付款，则每日按合同总额3‰向乙方偿付违约金。违约金总额不超过合同总金额的5%。逾期付款超过15天，乙方有权终止合同，甲方向乙方支付合同总额5%的违约金，已收乙方物品的退还物品。若属于财政拨款等非因甲方原因导致付款延迟或出现其他不符合约定的情形，甲方不承担任何责任。</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十七、争端的解决</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1.凡与本合同有关而引起的一切争议，甲乙双方通过友好协商解决，如协商不成，任何一方可以向甲方所在地法院提起诉讼。</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2.在诉讼期间，除提交法院审理的事项外，合同其它部分应继续履行。</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十八、合同解除和终止</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甲乙双方各自完成合同规定的责任和义务，合同自然终止。</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十九、其它</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1.本合同乙方在任何情况下都不得全部或部分转让其应履行的合同义务，乙方不得将本合同分包给他人。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本项目招标文件、投标文件、中标通知书及本合同之附件等均为本合同的有效组成部分，与本合同具有同样法律效力。合同相关文件的解释顺序如下：1）合同书及其附件；2）中标通知书；3）投标文件；4）招标文件；5）其它相关文件。</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3.在执行本合同的过程中，所有经双方签署确认的文件（包括会议纪要、补充合同、合同修改书、往来信函等）均为本合同的有效组成部分，其生效日期为双方签字盖章或确认之日期。</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4.本合同一式八份，甲方六份，乙方两份。</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5.合同经双方授权代表签字、盖章后生效，生效日以最后一个签字日为准。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6.本合同合计</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页A4纸张，缺页之合同为无效合同。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未详尽之处双方协商解决。</w:t>
      </w:r>
    </w:p>
    <w:p>
      <w:pPr>
        <w:ind w:firstLine="480" w:firstLineChars="200"/>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（以下无正文）</w:t>
      </w:r>
    </w:p>
    <w:p>
      <w:pPr>
        <w:ind w:firstLine="480" w:firstLineChars="200"/>
        <w:rPr>
          <w:rFonts w:asciiTheme="minorEastAsia" w:hAnsiTheme="minorEastAsia" w:eastAsiaTheme="minorEastAsia"/>
          <w:sz w:val="24"/>
          <w:szCs w:val="24"/>
        </w:rPr>
      </w:pPr>
    </w:p>
    <w:p>
      <w:pPr>
        <w:spacing w:line="420" w:lineRule="exact"/>
        <w:ind w:firstLine="480" w:firstLineChars="200"/>
        <w:rPr>
          <w:rFonts w:ascii="宋体" w:hAnsi="宋体"/>
          <w:sz w:val="24"/>
          <w:szCs w:val="24"/>
        </w:rPr>
      </w:pPr>
      <w:r>
        <w:rPr>
          <w:rFonts w:hint="eastAsia" w:ascii="宋体" w:hAnsi="宋体"/>
          <w:sz w:val="24"/>
          <w:szCs w:val="24"/>
        </w:rPr>
        <w:t>甲方：广州南方学院</w:t>
      </w:r>
      <w:r>
        <w:rPr>
          <w:rFonts w:ascii="宋体" w:hAnsi="宋体"/>
          <w:sz w:val="24"/>
          <w:szCs w:val="24"/>
        </w:rPr>
        <w:t xml:space="preserve">    </w:t>
      </w:r>
      <w:r>
        <w:rPr>
          <w:rFonts w:hint="eastAsia" w:ascii="宋体" w:hAnsi="宋体"/>
          <w:sz w:val="24"/>
          <w:szCs w:val="24"/>
        </w:rPr>
        <w:t xml:space="preserve">       乙方：</w:t>
      </w:r>
    </w:p>
    <w:p>
      <w:pPr>
        <w:spacing w:line="420" w:lineRule="exact"/>
        <w:rPr>
          <w:rFonts w:ascii="宋体" w:hAnsi="宋体"/>
          <w:sz w:val="24"/>
          <w:szCs w:val="24"/>
        </w:rPr>
      </w:pPr>
      <w:r>
        <w:rPr>
          <w:rFonts w:hint="eastAsia" w:ascii="宋体" w:hAnsi="宋体"/>
          <w:sz w:val="24"/>
          <w:szCs w:val="24"/>
        </w:rPr>
        <w:t xml:space="preserve">      （合同章）                                （合同章）</w:t>
      </w:r>
    </w:p>
    <w:p>
      <w:pPr>
        <w:spacing w:line="420" w:lineRule="exact"/>
        <w:rPr>
          <w:rFonts w:ascii="宋体" w:hAnsi="宋体"/>
          <w:sz w:val="24"/>
          <w:szCs w:val="24"/>
        </w:rPr>
      </w:pPr>
    </w:p>
    <w:p>
      <w:pPr>
        <w:spacing w:line="420" w:lineRule="exact"/>
        <w:ind w:firstLine="480" w:firstLineChars="200"/>
        <w:rPr>
          <w:rFonts w:ascii="宋体" w:hAnsi="宋体"/>
          <w:sz w:val="24"/>
          <w:szCs w:val="24"/>
        </w:rPr>
      </w:pPr>
      <w:r>
        <w:rPr>
          <w:rFonts w:hint="eastAsia" w:ascii="宋体" w:hAnsi="宋体"/>
          <w:sz w:val="24"/>
          <w:szCs w:val="24"/>
        </w:rPr>
        <w:t>代表签字：</w:t>
      </w:r>
      <w:r>
        <w:rPr>
          <w:rFonts w:ascii="宋体" w:hAnsi="宋体"/>
          <w:sz w:val="24"/>
          <w:szCs w:val="24"/>
        </w:rPr>
        <w:t xml:space="preserve">                       </w:t>
      </w:r>
      <w:r>
        <w:rPr>
          <w:rFonts w:hint="eastAsia" w:ascii="宋体" w:hAnsi="宋体"/>
          <w:sz w:val="24"/>
          <w:szCs w:val="24"/>
        </w:rPr>
        <w:t>代表签字：</w:t>
      </w:r>
    </w:p>
    <w:p>
      <w:pPr>
        <w:spacing w:line="420" w:lineRule="exact"/>
        <w:rPr>
          <w:rFonts w:ascii="宋体" w:hAnsi="宋体"/>
          <w:sz w:val="24"/>
          <w:szCs w:val="24"/>
        </w:rPr>
      </w:pPr>
      <w:r>
        <w:rPr>
          <w:rFonts w:ascii="宋体" w:hAnsi="宋体"/>
          <w:sz w:val="24"/>
          <w:szCs w:val="24"/>
        </w:rPr>
        <w:t xml:space="preserve">                                    </w:t>
      </w:r>
    </w:p>
    <w:p>
      <w:pPr>
        <w:ind w:firstLine="480" w:firstLineChars="200"/>
        <w:rPr>
          <w:rFonts w:asciiTheme="minorEastAsia" w:hAnsiTheme="minorEastAsia" w:eastAsiaTheme="minorEastAsia"/>
          <w:sz w:val="24"/>
          <w:szCs w:val="24"/>
        </w:rPr>
      </w:pPr>
      <w:r>
        <w:rPr>
          <w:rFonts w:hint="eastAsia" w:ascii="宋体" w:hAnsi="宋体"/>
          <w:sz w:val="24"/>
          <w:szCs w:val="24"/>
        </w:rPr>
        <w:t>签字日期：</w:t>
      </w:r>
      <w:r>
        <w:rPr>
          <w:rFonts w:ascii="宋体" w:hAnsi="宋体"/>
          <w:sz w:val="24"/>
          <w:szCs w:val="24"/>
        </w:rPr>
        <w:t xml:space="preserve">                       </w:t>
      </w:r>
      <w:r>
        <w:rPr>
          <w:rFonts w:hint="eastAsia" w:ascii="宋体" w:hAnsi="宋体"/>
          <w:sz w:val="24"/>
          <w:szCs w:val="24"/>
        </w:rPr>
        <w:t>签字日期：</w:t>
      </w:r>
    </w:p>
    <w:p>
      <w:pPr>
        <w:widowControl/>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rPr>
          <w:rFonts w:asciiTheme="minorEastAsia" w:hAnsiTheme="minorEastAsia" w:eastAsiaTheme="minorEastAsia"/>
          <w:sz w:val="24"/>
          <w:szCs w:val="24"/>
        </w:rPr>
        <w:sectPr>
          <w:footerReference r:id="rId5" w:type="default"/>
          <w:pgSz w:w="11906" w:h="16838"/>
          <w:pgMar w:top="1440" w:right="1800" w:bottom="1440" w:left="1800" w:header="851" w:footer="992" w:gutter="0"/>
          <w:cols w:space="425" w:num="1"/>
          <w:docGrid w:type="lines" w:linePitch="312" w:charSpace="0"/>
        </w:sect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附件1：</w:t>
      </w:r>
    </w:p>
    <w:p>
      <w:pPr>
        <w:jc w:val="center"/>
        <w:rPr>
          <w:rFonts w:ascii="方正小标宋简体" w:eastAsia="方正小标宋简体" w:hAnsiTheme="minorEastAsia"/>
          <w:sz w:val="32"/>
          <w:szCs w:val="32"/>
        </w:rPr>
      </w:pPr>
      <w:r>
        <w:rPr>
          <w:rFonts w:hint="eastAsia" w:ascii="方正小标宋简体" w:eastAsia="方正小标宋简体" w:hAnsiTheme="minorEastAsia"/>
          <w:sz w:val="32"/>
          <w:szCs w:val="32"/>
        </w:rPr>
        <w:t>广州南方学院图书馆视频监控建设项目设备清单</w:t>
      </w:r>
    </w:p>
    <w:tbl>
      <w:tblPr>
        <w:tblStyle w:val="17"/>
        <w:tblW w:w="1419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194"/>
        <w:gridCol w:w="2766"/>
        <w:gridCol w:w="1275"/>
        <w:gridCol w:w="645"/>
        <w:gridCol w:w="3210"/>
        <w:gridCol w:w="510"/>
        <w:gridCol w:w="555"/>
        <w:gridCol w:w="12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09" w:type="dxa"/>
            <w:vAlign w:val="center"/>
          </w:tcPr>
          <w:p>
            <w:pPr>
              <w:widowControl/>
              <w:jc w:val="center"/>
              <w:rPr>
                <w:rFonts w:ascii="宋体" w:hAnsi="宋体" w:cs="宋体"/>
                <w:kern w:val="0"/>
                <w:sz w:val="18"/>
                <w:szCs w:val="18"/>
              </w:rPr>
            </w:pPr>
            <w:r>
              <w:rPr>
                <w:rFonts w:hint="eastAsia" w:ascii="宋体" w:hAnsi="宋体" w:cs="宋体"/>
                <w:kern w:val="0"/>
                <w:sz w:val="18"/>
                <w:szCs w:val="18"/>
              </w:rPr>
              <w:t>设备（货物）</w:t>
            </w:r>
          </w:p>
          <w:p>
            <w:pPr>
              <w:widowControl/>
              <w:jc w:val="center"/>
              <w:rPr>
                <w:rFonts w:ascii="宋体" w:hAnsi="宋体" w:cs="宋体"/>
                <w:kern w:val="0"/>
                <w:sz w:val="18"/>
                <w:szCs w:val="18"/>
              </w:rPr>
            </w:pPr>
            <w:r>
              <w:rPr>
                <w:rFonts w:hint="eastAsia" w:ascii="宋体" w:hAnsi="宋体" w:cs="宋体"/>
                <w:kern w:val="0"/>
                <w:sz w:val="18"/>
                <w:szCs w:val="18"/>
              </w:rPr>
              <w:t>名称</w:t>
            </w:r>
          </w:p>
        </w:tc>
        <w:tc>
          <w:tcPr>
            <w:tcW w:w="1194" w:type="dxa"/>
            <w:vAlign w:val="center"/>
          </w:tcPr>
          <w:p>
            <w:pPr>
              <w:widowControl/>
              <w:jc w:val="center"/>
              <w:rPr>
                <w:rFonts w:ascii="宋体" w:hAnsi="宋体" w:cs="宋体"/>
                <w:kern w:val="0"/>
                <w:sz w:val="18"/>
                <w:szCs w:val="18"/>
              </w:rPr>
            </w:pPr>
            <w:r>
              <w:rPr>
                <w:rFonts w:hint="eastAsia" w:ascii="宋体" w:hAnsi="宋体" w:cs="宋体"/>
                <w:kern w:val="0"/>
                <w:sz w:val="18"/>
                <w:szCs w:val="18"/>
              </w:rPr>
              <w:t>品牌</w:t>
            </w:r>
          </w:p>
        </w:tc>
        <w:tc>
          <w:tcPr>
            <w:tcW w:w="2766" w:type="dxa"/>
            <w:vAlign w:val="center"/>
          </w:tcPr>
          <w:p>
            <w:pPr>
              <w:widowControl/>
              <w:jc w:val="center"/>
              <w:rPr>
                <w:rFonts w:ascii="宋体" w:hAnsi="宋体" w:cs="宋体"/>
                <w:kern w:val="0"/>
                <w:sz w:val="18"/>
                <w:szCs w:val="18"/>
              </w:rPr>
            </w:pPr>
            <w:r>
              <w:rPr>
                <w:rFonts w:hint="eastAsia" w:ascii="宋体" w:hAnsi="宋体" w:cs="宋体"/>
                <w:kern w:val="0"/>
                <w:sz w:val="18"/>
                <w:szCs w:val="18"/>
              </w:rPr>
              <w:t>规格型号</w:t>
            </w:r>
          </w:p>
        </w:tc>
        <w:tc>
          <w:tcPr>
            <w:tcW w:w="1275" w:type="dxa"/>
            <w:vAlign w:val="center"/>
          </w:tcPr>
          <w:p>
            <w:pPr>
              <w:widowControl/>
              <w:jc w:val="center"/>
              <w:rPr>
                <w:rFonts w:ascii="宋体" w:hAnsi="宋体" w:cs="宋体"/>
                <w:kern w:val="0"/>
                <w:sz w:val="18"/>
                <w:szCs w:val="18"/>
              </w:rPr>
            </w:pPr>
            <w:r>
              <w:rPr>
                <w:rFonts w:hint="eastAsia" w:ascii="宋体" w:hAnsi="宋体" w:cs="宋体"/>
                <w:kern w:val="0"/>
                <w:sz w:val="18"/>
                <w:szCs w:val="18"/>
              </w:rPr>
              <w:t>配置清单</w:t>
            </w:r>
          </w:p>
        </w:tc>
        <w:tc>
          <w:tcPr>
            <w:tcW w:w="645" w:type="dxa"/>
            <w:vAlign w:val="center"/>
          </w:tcPr>
          <w:p>
            <w:pPr>
              <w:widowControl/>
              <w:jc w:val="center"/>
              <w:rPr>
                <w:rFonts w:ascii="宋体" w:hAnsi="宋体" w:cs="宋体"/>
                <w:kern w:val="0"/>
                <w:sz w:val="18"/>
                <w:szCs w:val="18"/>
              </w:rPr>
            </w:pPr>
            <w:r>
              <w:rPr>
                <w:rFonts w:hint="eastAsia" w:ascii="宋体" w:hAnsi="宋体" w:cs="宋体"/>
                <w:kern w:val="0"/>
                <w:sz w:val="18"/>
                <w:szCs w:val="18"/>
              </w:rPr>
              <w:t>产地</w:t>
            </w:r>
          </w:p>
        </w:tc>
        <w:tc>
          <w:tcPr>
            <w:tcW w:w="3210" w:type="dxa"/>
            <w:vAlign w:val="center"/>
          </w:tcPr>
          <w:p>
            <w:pPr>
              <w:widowControl/>
              <w:jc w:val="center"/>
              <w:rPr>
                <w:rFonts w:ascii="宋体" w:hAnsi="宋体" w:cs="宋体"/>
                <w:kern w:val="0"/>
                <w:sz w:val="18"/>
                <w:szCs w:val="18"/>
              </w:rPr>
            </w:pPr>
            <w:r>
              <w:rPr>
                <w:rFonts w:hint="eastAsia" w:ascii="宋体" w:hAnsi="宋体" w:cs="宋体"/>
                <w:kern w:val="0"/>
                <w:sz w:val="18"/>
                <w:szCs w:val="18"/>
              </w:rPr>
              <w:t>厂家</w:t>
            </w:r>
          </w:p>
        </w:tc>
        <w:tc>
          <w:tcPr>
            <w:tcW w:w="510" w:type="dxa"/>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555" w:type="dxa"/>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292" w:type="dxa"/>
            <w:vAlign w:val="center"/>
          </w:tcPr>
          <w:p>
            <w:pPr>
              <w:widowControl/>
              <w:jc w:val="center"/>
              <w:rPr>
                <w:rFonts w:ascii="宋体" w:hAnsi="宋体" w:cs="宋体"/>
                <w:kern w:val="0"/>
                <w:sz w:val="18"/>
                <w:szCs w:val="18"/>
              </w:rPr>
            </w:pPr>
            <w:r>
              <w:rPr>
                <w:rFonts w:hint="eastAsia" w:ascii="宋体" w:hAnsi="宋体" w:cs="宋体"/>
                <w:kern w:val="0"/>
                <w:sz w:val="18"/>
                <w:szCs w:val="18"/>
              </w:rPr>
              <w:t>单价（元）</w:t>
            </w:r>
          </w:p>
        </w:tc>
        <w:tc>
          <w:tcPr>
            <w:tcW w:w="1134" w:type="dxa"/>
            <w:vAlign w:val="center"/>
          </w:tcPr>
          <w:p>
            <w:pPr>
              <w:widowControl/>
              <w:jc w:val="center"/>
              <w:rPr>
                <w:rFonts w:ascii="宋体" w:hAnsi="宋体" w:cs="宋体"/>
                <w:kern w:val="0"/>
                <w:sz w:val="18"/>
                <w:szCs w:val="18"/>
              </w:rPr>
            </w:pPr>
            <w:r>
              <w:rPr>
                <w:rFonts w:hint="eastAsia" w:ascii="宋体" w:hAnsi="宋体" w:cs="宋体"/>
                <w:kern w:val="0"/>
                <w:sz w:val="18"/>
                <w:szCs w:val="1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09" w:type="dxa"/>
            <w:vAlign w:val="center"/>
          </w:tcPr>
          <w:p>
            <w:pPr>
              <w:widowControl/>
              <w:rPr>
                <w:rFonts w:ascii="微软雅黑" w:hAnsi="微软雅黑" w:eastAsia="微软雅黑" w:cs="宋体"/>
                <w:kern w:val="0"/>
                <w:sz w:val="18"/>
                <w:szCs w:val="18"/>
              </w:rPr>
            </w:pPr>
          </w:p>
        </w:tc>
        <w:tc>
          <w:tcPr>
            <w:tcW w:w="1194" w:type="dxa"/>
            <w:vAlign w:val="center"/>
          </w:tcPr>
          <w:p>
            <w:pPr>
              <w:widowControl/>
              <w:rPr>
                <w:rFonts w:ascii="微软雅黑" w:hAnsi="微软雅黑" w:eastAsia="微软雅黑" w:cs="宋体"/>
                <w:kern w:val="0"/>
                <w:sz w:val="18"/>
                <w:szCs w:val="18"/>
              </w:rPr>
            </w:pPr>
          </w:p>
        </w:tc>
        <w:tc>
          <w:tcPr>
            <w:tcW w:w="2766" w:type="dxa"/>
            <w:vAlign w:val="center"/>
          </w:tcPr>
          <w:p>
            <w:pPr>
              <w:widowControl/>
              <w:rPr>
                <w:rFonts w:ascii="微软雅黑" w:hAnsi="微软雅黑" w:eastAsia="微软雅黑" w:cs="宋体"/>
                <w:kern w:val="0"/>
                <w:sz w:val="18"/>
                <w:szCs w:val="18"/>
              </w:rPr>
            </w:pPr>
          </w:p>
        </w:tc>
        <w:tc>
          <w:tcPr>
            <w:tcW w:w="1275" w:type="dxa"/>
            <w:vAlign w:val="center"/>
          </w:tcPr>
          <w:p>
            <w:pPr>
              <w:widowControl/>
              <w:rPr>
                <w:rFonts w:ascii="微软雅黑" w:hAnsi="微软雅黑" w:eastAsia="微软雅黑" w:cs="宋体"/>
                <w:kern w:val="0"/>
                <w:sz w:val="18"/>
                <w:szCs w:val="18"/>
              </w:rPr>
            </w:pPr>
          </w:p>
        </w:tc>
        <w:tc>
          <w:tcPr>
            <w:tcW w:w="645" w:type="dxa"/>
            <w:vAlign w:val="center"/>
          </w:tcPr>
          <w:p>
            <w:pPr>
              <w:widowControl/>
              <w:rPr>
                <w:rFonts w:ascii="微软雅黑" w:hAnsi="微软雅黑" w:eastAsia="微软雅黑" w:cs="宋体"/>
                <w:kern w:val="0"/>
                <w:sz w:val="18"/>
                <w:szCs w:val="18"/>
              </w:rPr>
            </w:pPr>
          </w:p>
        </w:tc>
        <w:tc>
          <w:tcPr>
            <w:tcW w:w="3210" w:type="dxa"/>
            <w:vAlign w:val="center"/>
          </w:tcPr>
          <w:p>
            <w:pPr>
              <w:widowControl/>
              <w:rPr>
                <w:rFonts w:ascii="微软雅黑" w:hAnsi="微软雅黑" w:eastAsia="微软雅黑" w:cs="宋体"/>
                <w:kern w:val="0"/>
                <w:sz w:val="18"/>
                <w:szCs w:val="18"/>
              </w:rPr>
            </w:pPr>
          </w:p>
        </w:tc>
        <w:tc>
          <w:tcPr>
            <w:tcW w:w="510" w:type="dxa"/>
            <w:vAlign w:val="center"/>
          </w:tcPr>
          <w:p>
            <w:pPr>
              <w:widowControl/>
              <w:jc w:val="center"/>
              <w:rPr>
                <w:rFonts w:ascii="微软雅黑" w:hAnsi="微软雅黑" w:eastAsia="微软雅黑" w:cs="宋体"/>
                <w:kern w:val="0"/>
                <w:sz w:val="18"/>
                <w:szCs w:val="18"/>
              </w:rPr>
            </w:pPr>
          </w:p>
        </w:tc>
        <w:tc>
          <w:tcPr>
            <w:tcW w:w="555" w:type="dxa"/>
            <w:vAlign w:val="center"/>
          </w:tcPr>
          <w:p>
            <w:pPr>
              <w:widowControl/>
              <w:jc w:val="center"/>
              <w:rPr>
                <w:rFonts w:ascii="宋体" w:hAnsi="宋体" w:cs="宋体"/>
                <w:kern w:val="0"/>
                <w:sz w:val="18"/>
                <w:szCs w:val="18"/>
              </w:rPr>
            </w:pPr>
          </w:p>
        </w:tc>
        <w:tc>
          <w:tcPr>
            <w:tcW w:w="1292" w:type="dxa"/>
            <w:vAlign w:val="center"/>
          </w:tcPr>
          <w:p>
            <w:pPr>
              <w:widowControl/>
              <w:jc w:val="center"/>
              <w:rPr>
                <w:rFonts w:ascii="微软雅黑" w:hAnsi="微软雅黑" w:eastAsia="微软雅黑" w:cs="宋体"/>
                <w:kern w:val="0"/>
                <w:sz w:val="18"/>
                <w:szCs w:val="18"/>
              </w:rPr>
            </w:pPr>
          </w:p>
        </w:tc>
        <w:tc>
          <w:tcPr>
            <w:tcW w:w="1134" w:type="dxa"/>
            <w:vAlign w:val="center"/>
          </w:tcPr>
          <w:p>
            <w:pPr>
              <w:widowControl/>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09" w:type="dxa"/>
            <w:vAlign w:val="center"/>
          </w:tcPr>
          <w:p>
            <w:pPr>
              <w:widowControl/>
              <w:rPr>
                <w:rFonts w:ascii="微软雅黑" w:hAnsi="微软雅黑" w:eastAsia="微软雅黑" w:cs="宋体"/>
                <w:kern w:val="0"/>
                <w:sz w:val="18"/>
                <w:szCs w:val="18"/>
              </w:rPr>
            </w:pPr>
          </w:p>
        </w:tc>
        <w:tc>
          <w:tcPr>
            <w:tcW w:w="1194" w:type="dxa"/>
            <w:vAlign w:val="center"/>
          </w:tcPr>
          <w:p>
            <w:pPr>
              <w:widowControl/>
              <w:rPr>
                <w:rFonts w:ascii="微软雅黑" w:hAnsi="微软雅黑" w:eastAsia="微软雅黑" w:cs="宋体"/>
                <w:kern w:val="0"/>
                <w:sz w:val="18"/>
                <w:szCs w:val="18"/>
              </w:rPr>
            </w:pPr>
          </w:p>
        </w:tc>
        <w:tc>
          <w:tcPr>
            <w:tcW w:w="2766" w:type="dxa"/>
            <w:vAlign w:val="center"/>
          </w:tcPr>
          <w:p>
            <w:pPr>
              <w:widowControl/>
              <w:rPr>
                <w:rFonts w:ascii="微软雅黑" w:hAnsi="微软雅黑" w:eastAsia="微软雅黑" w:cs="宋体"/>
                <w:kern w:val="0"/>
                <w:sz w:val="18"/>
                <w:szCs w:val="18"/>
              </w:rPr>
            </w:pPr>
          </w:p>
        </w:tc>
        <w:tc>
          <w:tcPr>
            <w:tcW w:w="1275" w:type="dxa"/>
            <w:vAlign w:val="center"/>
          </w:tcPr>
          <w:p>
            <w:pPr>
              <w:widowControl/>
              <w:rPr>
                <w:rFonts w:ascii="微软雅黑" w:hAnsi="微软雅黑" w:eastAsia="微软雅黑" w:cs="宋体"/>
                <w:kern w:val="0"/>
                <w:sz w:val="18"/>
                <w:szCs w:val="18"/>
              </w:rPr>
            </w:pPr>
          </w:p>
        </w:tc>
        <w:tc>
          <w:tcPr>
            <w:tcW w:w="645" w:type="dxa"/>
            <w:vAlign w:val="center"/>
          </w:tcPr>
          <w:p>
            <w:pPr>
              <w:widowControl/>
              <w:rPr>
                <w:rFonts w:ascii="微软雅黑" w:hAnsi="微软雅黑" w:eastAsia="微软雅黑" w:cs="宋体"/>
                <w:kern w:val="0"/>
                <w:sz w:val="18"/>
                <w:szCs w:val="18"/>
              </w:rPr>
            </w:pPr>
          </w:p>
        </w:tc>
        <w:tc>
          <w:tcPr>
            <w:tcW w:w="3210" w:type="dxa"/>
            <w:vAlign w:val="center"/>
          </w:tcPr>
          <w:p>
            <w:pPr>
              <w:widowControl/>
              <w:rPr>
                <w:rFonts w:ascii="微软雅黑" w:hAnsi="微软雅黑" w:eastAsia="微软雅黑" w:cs="宋体"/>
                <w:kern w:val="0"/>
                <w:sz w:val="18"/>
                <w:szCs w:val="18"/>
              </w:rPr>
            </w:pPr>
          </w:p>
        </w:tc>
        <w:tc>
          <w:tcPr>
            <w:tcW w:w="510" w:type="dxa"/>
            <w:vAlign w:val="center"/>
          </w:tcPr>
          <w:p>
            <w:pPr>
              <w:widowControl/>
              <w:jc w:val="center"/>
              <w:rPr>
                <w:rFonts w:ascii="微软雅黑" w:hAnsi="微软雅黑" w:eastAsia="微软雅黑" w:cs="宋体"/>
                <w:kern w:val="0"/>
                <w:sz w:val="18"/>
                <w:szCs w:val="18"/>
              </w:rPr>
            </w:pPr>
          </w:p>
        </w:tc>
        <w:tc>
          <w:tcPr>
            <w:tcW w:w="555" w:type="dxa"/>
            <w:vAlign w:val="center"/>
          </w:tcPr>
          <w:p>
            <w:pPr>
              <w:widowControl/>
              <w:jc w:val="center"/>
              <w:rPr>
                <w:rFonts w:ascii="宋体" w:hAnsi="宋体" w:cs="宋体"/>
                <w:kern w:val="0"/>
                <w:sz w:val="18"/>
                <w:szCs w:val="18"/>
              </w:rPr>
            </w:pPr>
          </w:p>
        </w:tc>
        <w:tc>
          <w:tcPr>
            <w:tcW w:w="1292" w:type="dxa"/>
            <w:vAlign w:val="center"/>
          </w:tcPr>
          <w:p>
            <w:pPr>
              <w:widowControl/>
              <w:jc w:val="center"/>
              <w:rPr>
                <w:rFonts w:ascii="微软雅黑" w:hAnsi="微软雅黑" w:eastAsia="微软雅黑" w:cs="宋体"/>
                <w:kern w:val="0"/>
                <w:sz w:val="18"/>
                <w:szCs w:val="18"/>
              </w:rPr>
            </w:pPr>
          </w:p>
        </w:tc>
        <w:tc>
          <w:tcPr>
            <w:tcW w:w="1134" w:type="dxa"/>
            <w:vAlign w:val="center"/>
          </w:tcPr>
          <w:p>
            <w:pPr>
              <w:widowControl/>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09" w:type="dxa"/>
            <w:vAlign w:val="center"/>
          </w:tcPr>
          <w:p>
            <w:pPr>
              <w:widowControl/>
              <w:rPr>
                <w:rFonts w:ascii="微软雅黑" w:hAnsi="微软雅黑" w:eastAsia="微软雅黑" w:cs="宋体"/>
                <w:kern w:val="0"/>
                <w:sz w:val="18"/>
                <w:szCs w:val="18"/>
              </w:rPr>
            </w:pPr>
          </w:p>
        </w:tc>
        <w:tc>
          <w:tcPr>
            <w:tcW w:w="1194" w:type="dxa"/>
            <w:vAlign w:val="center"/>
          </w:tcPr>
          <w:p>
            <w:pPr>
              <w:widowControl/>
              <w:rPr>
                <w:rFonts w:ascii="微软雅黑" w:hAnsi="微软雅黑" w:eastAsia="微软雅黑" w:cs="宋体"/>
                <w:kern w:val="0"/>
                <w:sz w:val="18"/>
                <w:szCs w:val="18"/>
              </w:rPr>
            </w:pPr>
          </w:p>
        </w:tc>
        <w:tc>
          <w:tcPr>
            <w:tcW w:w="2766" w:type="dxa"/>
            <w:vAlign w:val="center"/>
          </w:tcPr>
          <w:p>
            <w:pPr>
              <w:widowControl/>
              <w:rPr>
                <w:rFonts w:ascii="微软雅黑" w:hAnsi="微软雅黑" w:eastAsia="微软雅黑" w:cs="宋体"/>
                <w:kern w:val="0"/>
                <w:sz w:val="18"/>
                <w:szCs w:val="18"/>
              </w:rPr>
            </w:pPr>
          </w:p>
        </w:tc>
        <w:tc>
          <w:tcPr>
            <w:tcW w:w="1275" w:type="dxa"/>
            <w:vAlign w:val="center"/>
          </w:tcPr>
          <w:p>
            <w:pPr>
              <w:widowControl/>
              <w:rPr>
                <w:rFonts w:ascii="微软雅黑" w:hAnsi="微软雅黑" w:eastAsia="微软雅黑" w:cs="宋体"/>
                <w:kern w:val="0"/>
                <w:sz w:val="18"/>
                <w:szCs w:val="18"/>
              </w:rPr>
            </w:pPr>
          </w:p>
        </w:tc>
        <w:tc>
          <w:tcPr>
            <w:tcW w:w="645" w:type="dxa"/>
            <w:vAlign w:val="center"/>
          </w:tcPr>
          <w:p>
            <w:pPr>
              <w:widowControl/>
              <w:rPr>
                <w:rFonts w:ascii="微软雅黑" w:hAnsi="微软雅黑" w:eastAsia="微软雅黑" w:cs="宋体"/>
                <w:kern w:val="0"/>
                <w:sz w:val="18"/>
                <w:szCs w:val="18"/>
              </w:rPr>
            </w:pPr>
          </w:p>
        </w:tc>
        <w:tc>
          <w:tcPr>
            <w:tcW w:w="3210" w:type="dxa"/>
            <w:vAlign w:val="center"/>
          </w:tcPr>
          <w:p>
            <w:pPr>
              <w:widowControl/>
              <w:rPr>
                <w:rFonts w:ascii="微软雅黑" w:hAnsi="微软雅黑" w:eastAsia="微软雅黑" w:cs="宋体"/>
                <w:kern w:val="0"/>
                <w:sz w:val="18"/>
                <w:szCs w:val="18"/>
              </w:rPr>
            </w:pPr>
          </w:p>
        </w:tc>
        <w:tc>
          <w:tcPr>
            <w:tcW w:w="510" w:type="dxa"/>
            <w:vAlign w:val="center"/>
          </w:tcPr>
          <w:p>
            <w:pPr>
              <w:widowControl/>
              <w:jc w:val="center"/>
              <w:rPr>
                <w:rFonts w:ascii="微软雅黑" w:hAnsi="微软雅黑" w:eastAsia="微软雅黑" w:cs="宋体"/>
                <w:kern w:val="0"/>
                <w:sz w:val="18"/>
                <w:szCs w:val="18"/>
              </w:rPr>
            </w:pPr>
          </w:p>
        </w:tc>
        <w:tc>
          <w:tcPr>
            <w:tcW w:w="555" w:type="dxa"/>
            <w:vAlign w:val="center"/>
          </w:tcPr>
          <w:p>
            <w:pPr>
              <w:widowControl/>
              <w:jc w:val="center"/>
              <w:rPr>
                <w:rFonts w:ascii="宋体" w:hAnsi="宋体" w:cs="宋体"/>
                <w:kern w:val="0"/>
                <w:sz w:val="18"/>
                <w:szCs w:val="18"/>
              </w:rPr>
            </w:pPr>
          </w:p>
        </w:tc>
        <w:tc>
          <w:tcPr>
            <w:tcW w:w="1292" w:type="dxa"/>
            <w:vAlign w:val="center"/>
          </w:tcPr>
          <w:p>
            <w:pPr>
              <w:widowControl/>
              <w:jc w:val="center"/>
              <w:rPr>
                <w:rFonts w:ascii="微软雅黑" w:hAnsi="微软雅黑" w:eastAsia="微软雅黑" w:cs="宋体"/>
                <w:kern w:val="0"/>
                <w:sz w:val="18"/>
                <w:szCs w:val="18"/>
              </w:rPr>
            </w:pPr>
          </w:p>
        </w:tc>
        <w:tc>
          <w:tcPr>
            <w:tcW w:w="1134" w:type="dxa"/>
            <w:vAlign w:val="center"/>
          </w:tcPr>
          <w:p>
            <w:pPr>
              <w:widowControl/>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09" w:type="dxa"/>
            <w:vAlign w:val="center"/>
          </w:tcPr>
          <w:p>
            <w:pPr>
              <w:widowControl/>
              <w:rPr>
                <w:rFonts w:ascii="微软雅黑" w:hAnsi="微软雅黑" w:eastAsia="微软雅黑" w:cs="宋体"/>
                <w:kern w:val="0"/>
                <w:sz w:val="18"/>
                <w:szCs w:val="18"/>
              </w:rPr>
            </w:pPr>
          </w:p>
        </w:tc>
        <w:tc>
          <w:tcPr>
            <w:tcW w:w="1194" w:type="dxa"/>
            <w:vAlign w:val="center"/>
          </w:tcPr>
          <w:p>
            <w:pPr>
              <w:widowControl/>
              <w:rPr>
                <w:rFonts w:ascii="微软雅黑" w:hAnsi="微软雅黑" w:eastAsia="微软雅黑" w:cs="宋体"/>
                <w:kern w:val="0"/>
                <w:sz w:val="18"/>
                <w:szCs w:val="18"/>
              </w:rPr>
            </w:pPr>
          </w:p>
        </w:tc>
        <w:tc>
          <w:tcPr>
            <w:tcW w:w="2766" w:type="dxa"/>
            <w:vAlign w:val="center"/>
          </w:tcPr>
          <w:p>
            <w:pPr>
              <w:widowControl/>
              <w:rPr>
                <w:rFonts w:ascii="微软雅黑" w:hAnsi="微软雅黑" w:eastAsia="微软雅黑" w:cs="宋体"/>
                <w:kern w:val="0"/>
                <w:sz w:val="18"/>
                <w:szCs w:val="18"/>
              </w:rPr>
            </w:pPr>
          </w:p>
        </w:tc>
        <w:tc>
          <w:tcPr>
            <w:tcW w:w="1275" w:type="dxa"/>
            <w:vAlign w:val="center"/>
          </w:tcPr>
          <w:p>
            <w:pPr>
              <w:widowControl/>
              <w:rPr>
                <w:rFonts w:ascii="微软雅黑" w:hAnsi="微软雅黑" w:eastAsia="微软雅黑" w:cs="宋体"/>
                <w:kern w:val="0"/>
                <w:sz w:val="18"/>
                <w:szCs w:val="18"/>
              </w:rPr>
            </w:pPr>
          </w:p>
        </w:tc>
        <w:tc>
          <w:tcPr>
            <w:tcW w:w="645" w:type="dxa"/>
            <w:vAlign w:val="center"/>
          </w:tcPr>
          <w:p>
            <w:pPr>
              <w:widowControl/>
              <w:rPr>
                <w:rFonts w:ascii="微软雅黑" w:hAnsi="微软雅黑" w:eastAsia="微软雅黑" w:cs="宋体"/>
                <w:kern w:val="0"/>
                <w:sz w:val="18"/>
                <w:szCs w:val="18"/>
              </w:rPr>
            </w:pPr>
          </w:p>
        </w:tc>
        <w:tc>
          <w:tcPr>
            <w:tcW w:w="3210" w:type="dxa"/>
            <w:vAlign w:val="center"/>
          </w:tcPr>
          <w:p>
            <w:pPr>
              <w:widowControl/>
              <w:rPr>
                <w:rFonts w:ascii="微软雅黑" w:hAnsi="微软雅黑" w:eastAsia="微软雅黑" w:cs="宋体"/>
                <w:kern w:val="0"/>
                <w:sz w:val="18"/>
                <w:szCs w:val="18"/>
              </w:rPr>
            </w:pPr>
          </w:p>
        </w:tc>
        <w:tc>
          <w:tcPr>
            <w:tcW w:w="510" w:type="dxa"/>
            <w:vAlign w:val="center"/>
          </w:tcPr>
          <w:p>
            <w:pPr>
              <w:widowControl/>
              <w:jc w:val="center"/>
              <w:rPr>
                <w:rFonts w:ascii="微软雅黑" w:hAnsi="微软雅黑" w:eastAsia="微软雅黑" w:cs="宋体"/>
                <w:kern w:val="0"/>
                <w:sz w:val="18"/>
                <w:szCs w:val="18"/>
              </w:rPr>
            </w:pPr>
          </w:p>
        </w:tc>
        <w:tc>
          <w:tcPr>
            <w:tcW w:w="555" w:type="dxa"/>
            <w:vAlign w:val="center"/>
          </w:tcPr>
          <w:p>
            <w:pPr>
              <w:widowControl/>
              <w:jc w:val="center"/>
              <w:rPr>
                <w:rFonts w:ascii="宋体" w:hAnsi="宋体" w:cs="宋体"/>
                <w:kern w:val="0"/>
                <w:sz w:val="18"/>
                <w:szCs w:val="18"/>
              </w:rPr>
            </w:pPr>
          </w:p>
        </w:tc>
        <w:tc>
          <w:tcPr>
            <w:tcW w:w="1292" w:type="dxa"/>
            <w:vAlign w:val="center"/>
          </w:tcPr>
          <w:p>
            <w:pPr>
              <w:widowControl/>
              <w:jc w:val="center"/>
              <w:rPr>
                <w:rFonts w:ascii="微软雅黑" w:hAnsi="微软雅黑" w:eastAsia="微软雅黑" w:cs="宋体"/>
                <w:kern w:val="0"/>
                <w:sz w:val="18"/>
                <w:szCs w:val="18"/>
              </w:rPr>
            </w:pPr>
          </w:p>
        </w:tc>
        <w:tc>
          <w:tcPr>
            <w:tcW w:w="1134" w:type="dxa"/>
            <w:vAlign w:val="center"/>
          </w:tcPr>
          <w:p>
            <w:pPr>
              <w:widowControl/>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09" w:type="dxa"/>
            <w:vAlign w:val="center"/>
          </w:tcPr>
          <w:p>
            <w:pPr>
              <w:widowControl/>
              <w:rPr>
                <w:rFonts w:ascii="微软雅黑" w:hAnsi="微软雅黑" w:eastAsia="微软雅黑" w:cs="宋体"/>
                <w:kern w:val="0"/>
                <w:sz w:val="18"/>
                <w:szCs w:val="18"/>
              </w:rPr>
            </w:pPr>
          </w:p>
        </w:tc>
        <w:tc>
          <w:tcPr>
            <w:tcW w:w="1194" w:type="dxa"/>
            <w:vAlign w:val="center"/>
          </w:tcPr>
          <w:p>
            <w:pPr>
              <w:widowControl/>
              <w:rPr>
                <w:rFonts w:ascii="微软雅黑" w:hAnsi="微软雅黑" w:eastAsia="微软雅黑" w:cs="宋体"/>
                <w:kern w:val="0"/>
                <w:sz w:val="18"/>
                <w:szCs w:val="18"/>
              </w:rPr>
            </w:pPr>
          </w:p>
        </w:tc>
        <w:tc>
          <w:tcPr>
            <w:tcW w:w="2766" w:type="dxa"/>
            <w:vAlign w:val="center"/>
          </w:tcPr>
          <w:p>
            <w:pPr>
              <w:widowControl/>
              <w:rPr>
                <w:rFonts w:ascii="微软雅黑" w:hAnsi="微软雅黑" w:eastAsia="微软雅黑" w:cs="宋体"/>
                <w:kern w:val="0"/>
                <w:sz w:val="18"/>
                <w:szCs w:val="18"/>
              </w:rPr>
            </w:pPr>
          </w:p>
        </w:tc>
        <w:tc>
          <w:tcPr>
            <w:tcW w:w="1275" w:type="dxa"/>
            <w:vAlign w:val="center"/>
          </w:tcPr>
          <w:p>
            <w:pPr>
              <w:widowControl/>
              <w:rPr>
                <w:rFonts w:ascii="微软雅黑" w:hAnsi="微软雅黑" w:eastAsia="微软雅黑" w:cs="宋体"/>
                <w:kern w:val="0"/>
                <w:sz w:val="18"/>
                <w:szCs w:val="18"/>
              </w:rPr>
            </w:pPr>
          </w:p>
        </w:tc>
        <w:tc>
          <w:tcPr>
            <w:tcW w:w="645" w:type="dxa"/>
            <w:vAlign w:val="center"/>
          </w:tcPr>
          <w:p>
            <w:pPr>
              <w:widowControl/>
              <w:rPr>
                <w:rFonts w:ascii="微软雅黑" w:hAnsi="微软雅黑" w:eastAsia="微软雅黑" w:cs="宋体"/>
                <w:kern w:val="0"/>
                <w:sz w:val="18"/>
                <w:szCs w:val="18"/>
              </w:rPr>
            </w:pPr>
          </w:p>
        </w:tc>
        <w:tc>
          <w:tcPr>
            <w:tcW w:w="3210" w:type="dxa"/>
            <w:vAlign w:val="center"/>
          </w:tcPr>
          <w:p>
            <w:pPr>
              <w:widowControl/>
              <w:rPr>
                <w:rFonts w:ascii="微软雅黑" w:hAnsi="微软雅黑" w:eastAsia="微软雅黑" w:cs="宋体"/>
                <w:kern w:val="0"/>
                <w:sz w:val="18"/>
                <w:szCs w:val="18"/>
              </w:rPr>
            </w:pPr>
          </w:p>
        </w:tc>
        <w:tc>
          <w:tcPr>
            <w:tcW w:w="510" w:type="dxa"/>
            <w:vAlign w:val="center"/>
          </w:tcPr>
          <w:p>
            <w:pPr>
              <w:widowControl/>
              <w:jc w:val="center"/>
              <w:rPr>
                <w:rFonts w:ascii="微软雅黑" w:hAnsi="微软雅黑" w:eastAsia="微软雅黑" w:cs="宋体"/>
                <w:kern w:val="0"/>
                <w:sz w:val="18"/>
                <w:szCs w:val="18"/>
              </w:rPr>
            </w:pPr>
          </w:p>
        </w:tc>
        <w:tc>
          <w:tcPr>
            <w:tcW w:w="555" w:type="dxa"/>
            <w:vAlign w:val="center"/>
          </w:tcPr>
          <w:p>
            <w:pPr>
              <w:widowControl/>
              <w:jc w:val="center"/>
              <w:rPr>
                <w:rFonts w:ascii="宋体" w:hAnsi="宋体" w:cs="宋体"/>
                <w:kern w:val="0"/>
                <w:sz w:val="18"/>
                <w:szCs w:val="18"/>
              </w:rPr>
            </w:pPr>
          </w:p>
        </w:tc>
        <w:tc>
          <w:tcPr>
            <w:tcW w:w="1292" w:type="dxa"/>
            <w:vAlign w:val="center"/>
          </w:tcPr>
          <w:p>
            <w:pPr>
              <w:widowControl/>
              <w:jc w:val="center"/>
              <w:rPr>
                <w:rFonts w:ascii="微软雅黑" w:hAnsi="微软雅黑" w:eastAsia="微软雅黑" w:cs="宋体"/>
                <w:kern w:val="0"/>
                <w:sz w:val="18"/>
                <w:szCs w:val="18"/>
              </w:rPr>
            </w:pPr>
          </w:p>
        </w:tc>
        <w:tc>
          <w:tcPr>
            <w:tcW w:w="1134" w:type="dxa"/>
            <w:vAlign w:val="center"/>
          </w:tcPr>
          <w:p>
            <w:pPr>
              <w:widowControl/>
              <w:jc w:val="center"/>
              <w:rPr>
                <w:rFonts w:ascii="微软雅黑" w:hAnsi="微软雅黑" w:eastAsia="微软雅黑" w:cs="宋体"/>
                <w:kern w:val="0"/>
                <w:sz w:val="18"/>
                <w:szCs w:val="18"/>
              </w:rPr>
            </w:pPr>
          </w:p>
        </w:tc>
      </w:tr>
    </w:tbl>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br w:type="page"/>
      </w:r>
    </w:p>
    <w:p>
      <w:pPr>
        <w:rPr>
          <w:rFonts w:asciiTheme="minorEastAsia" w:hAnsiTheme="minorEastAsia" w:eastAsiaTheme="minorEastAsia"/>
          <w:sz w:val="24"/>
          <w:szCs w:val="24"/>
        </w:rPr>
        <w:sectPr>
          <w:pgSz w:w="16838" w:h="11906" w:orient="landscape"/>
          <w:pgMar w:top="1800" w:right="1440" w:bottom="1800" w:left="1440" w:header="851" w:footer="992" w:gutter="0"/>
          <w:cols w:space="425" w:num="1"/>
          <w:docGrid w:type="lines" w:linePitch="381" w:charSpace="0"/>
        </w:sect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pPr>
        <w:jc w:val="center"/>
        <w:rPr>
          <w:rFonts w:asciiTheme="minorEastAsia" w:hAnsiTheme="minorEastAsia" w:eastAsiaTheme="minorEastAsia"/>
          <w:sz w:val="24"/>
          <w:szCs w:val="24"/>
        </w:rPr>
      </w:pPr>
      <w:r>
        <w:rPr>
          <w:rFonts w:hint="eastAsia" w:ascii="方正小标宋简体" w:eastAsia="方正小标宋简体" w:hAnsiTheme="minorEastAsia"/>
          <w:sz w:val="32"/>
          <w:szCs w:val="32"/>
        </w:rPr>
        <w:t>广州南方学院图书馆视频监控建设项目设备技术参数</w:t>
      </w:r>
    </w:p>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tbl>
      <w:tblPr>
        <w:tblStyle w:val="17"/>
        <w:tblW w:w="5144" w:type="pct"/>
        <w:jc w:val="center"/>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469"/>
        <w:gridCol w:w="6388"/>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PrEx>
        <w:trPr>
          <w:trHeight w:val="452" w:hRule="atLeast"/>
          <w:jc w:val="center"/>
        </w:trPr>
        <w:tc>
          <w:tcPr>
            <w:tcW w:w="519" w:type="pct"/>
            <w:tcBorders>
              <w:top w:val="thinThickSmallGap" w:color="auto" w:sz="18" w:space="0"/>
              <w:left w:val="thinThickSmallGap" w:color="auto" w:sz="18"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序号</w:t>
            </w:r>
          </w:p>
        </w:tc>
        <w:tc>
          <w:tcPr>
            <w:tcW w:w="838" w:type="pct"/>
            <w:tcBorders>
              <w:top w:val="thinThickSmallGap" w:color="auto" w:sz="18"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货物名称</w:t>
            </w:r>
          </w:p>
        </w:tc>
        <w:tc>
          <w:tcPr>
            <w:tcW w:w="3643" w:type="pct"/>
            <w:tcBorders>
              <w:top w:val="thinThickSmallGap" w:color="auto" w:sz="18" w:space="0"/>
              <w:left w:val="single" w:color="auto" w:sz="4" w:space="0"/>
              <w:bottom w:val="single" w:color="auto" w:sz="4" w:space="0"/>
              <w:right w:val="thickThinSmallGap" w:color="auto" w:sz="18" w:space="0"/>
            </w:tcBorders>
            <w:vAlign w:val="center"/>
          </w:tcPr>
          <w:p>
            <w:pPr>
              <w:jc w:val="center"/>
              <w:rPr>
                <w:rFonts w:ascii="宋体" w:hAnsi="宋体"/>
                <w:b/>
                <w:bCs/>
              </w:rPr>
            </w:pPr>
            <w:r>
              <w:rPr>
                <w:rFonts w:hint="eastAsia" w:ascii="宋体" w:hAnsi="宋体"/>
                <w:b/>
                <w:bCs/>
              </w:rPr>
              <w:t>技术参数</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9" w:type="pct"/>
            <w:tcBorders>
              <w:top w:val="single" w:color="auto" w:sz="4" w:space="0"/>
              <w:left w:val="thinThickSmallGap" w:color="auto" w:sz="18" w:space="0"/>
              <w:bottom w:val="single" w:color="auto" w:sz="4" w:space="0"/>
              <w:right w:val="single" w:color="auto" w:sz="4" w:space="0"/>
            </w:tcBorders>
            <w:vAlign w:val="center"/>
          </w:tcPr>
          <w:p>
            <w:pPr>
              <w:jc w:val="center"/>
              <w:rPr>
                <w:rFonts w:ascii="宋体" w:hAnsi="宋体"/>
              </w:rPr>
            </w:pPr>
            <w:r>
              <w:rPr>
                <w:rFonts w:hint="eastAsia" w:ascii="宋体" w:hAnsi="宋体"/>
              </w:rPr>
              <w:t>1</w:t>
            </w:r>
          </w:p>
        </w:tc>
        <w:tc>
          <w:tcPr>
            <w:tcW w:w="838"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rPr>
            </w:pPr>
          </w:p>
        </w:tc>
        <w:tc>
          <w:tcPr>
            <w:tcW w:w="3643" w:type="pct"/>
            <w:tcBorders>
              <w:top w:val="single" w:color="auto" w:sz="4" w:space="0"/>
              <w:left w:val="single" w:color="auto" w:sz="4" w:space="0"/>
              <w:bottom w:val="single" w:color="auto" w:sz="4" w:space="0"/>
              <w:right w:val="thickThinSmallGap" w:color="auto" w:sz="18" w:space="0"/>
            </w:tcBorders>
            <w:vAlign w:val="center"/>
          </w:tcPr>
          <w:p>
            <w:pPr>
              <w:spacing w:line="300" w:lineRule="auto"/>
              <w:ind w:left="686" w:hanging="686" w:hangingChars="245"/>
              <w:rPr>
                <w:rFonts w:ascii="宋体" w:hAnsi="宋体"/>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9" w:type="pct"/>
            <w:tcBorders>
              <w:top w:val="single" w:color="auto" w:sz="4" w:space="0"/>
              <w:left w:val="thinThickSmallGap" w:color="auto" w:sz="18" w:space="0"/>
              <w:bottom w:val="single" w:color="auto" w:sz="4" w:space="0"/>
              <w:right w:val="single" w:color="auto" w:sz="4" w:space="0"/>
            </w:tcBorders>
            <w:vAlign w:val="center"/>
          </w:tcPr>
          <w:p>
            <w:pPr>
              <w:jc w:val="center"/>
              <w:rPr>
                <w:rFonts w:ascii="宋体" w:hAnsi="宋体"/>
              </w:rPr>
            </w:pPr>
            <w:r>
              <w:rPr>
                <w:rFonts w:hint="eastAsia" w:ascii="宋体" w:hAnsi="宋体"/>
              </w:rPr>
              <w:t>2</w:t>
            </w:r>
          </w:p>
        </w:tc>
        <w:tc>
          <w:tcPr>
            <w:tcW w:w="838"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rPr>
            </w:pPr>
          </w:p>
        </w:tc>
        <w:tc>
          <w:tcPr>
            <w:tcW w:w="3643" w:type="pct"/>
            <w:tcBorders>
              <w:top w:val="single" w:color="auto" w:sz="4" w:space="0"/>
              <w:left w:val="single" w:color="auto" w:sz="4" w:space="0"/>
              <w:bottom w:val="single" w:color="auto" w:sz="4" w:space="0"/>
              <w:right w:val="thickThinSmallGap" w:color="auto" w:sz="18" w:space="0"/>
            </w:tcBorders>
            <w:vAlign w:val="center"/>
          </w:tcPr>
          <w:p>
            <w:pPr>
              <w:spacing w:line="300" w:lineRule="auto"/>
              <w:ind w:left="686" w:hanging="686" w:hangingChars="245"/>
              <w:rPr>
                <w:rFonts w:ascii="宋体" w:hAnsi="宋体"/>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9" w:type="pct"/>
            <w:tcBorders>
              <w:top w:val="single" w:color="auto" w:sz="4" w:space="0"/>
              <w:left w:val="thinThickSmallGap" w:color="auto" w:sz="18" w:space="0"/>
              <w:bottom w:val="single" w:color="auto" w:sz="4" w:space="0"/>
              <w:right w:val="single" w:color="auto" w:sz="4" w:space="0"/>
            </w:tcBorders>
            <w:vAlign w:val="center"/>
          </w:tcPr>
          <w:p>
            <w:pPr>
              <w:jc w:val="center"/>
              <w:rPr>
                <w:rFonts w:ascii="宋体" w:hAnsi="宋体"/>
              </w:rPr>
            </w:pPr>
            <w:r>
              <w:rPr>
                <w:rFonts w:hint="eastAsia" w:ascii="宋体" w:hAnsi="宋体"/>
              </w:rPr>
              <w:t>3</w:t>
            </w:r>
          </w:p>
        </w:tc>
        <w:tc>
          <w:tcPr>
            <w:tcW w:w="838"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rPr>
            </w:pPr>
          </w:p>
        </w:tc>
        <w:tc>
          <w:tcPr>
            <w:tcW w:w="3643" w:type="pct"/>
            <w:tcBorders>
              <w:top w:val="single" w:color="auto" w:sz="4" w:space="0"/>
              <w:left w:val="single" w:color="auto" w:sz="4" w:space="0"/>
              <w:bottom w:val="single" w:color="auto" w:sz="4" w:space="0"/>
              <w:right w:val="thickThinSmallGap" w:color="auto" w:sz="18" w:space="0"/>
            </w:tcBorders>
            <w:vAlign w:val="center"/>
          </w:tcPr>
          <w:p>
            <w:pPr>
              <w:spacing w:line="300" w:lineRule="auto"/>
              <w:ind w:left="686" w:hanging="686" w:hangingChars="245"/>
              <w:rPr>
                <w:rFonts w:ascii="宋体" w:hAnsi="宋体"/>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9" w:type="pct"/>
            <w:tcBorders>
              <w:top w:val="single" w:color="auto" w:sz="4" w:space="0"/>
              <w:left w:val="thinThickSmallGap" w:color="auto" w:sz="18" w:space="0"/>
              <w:bottom w:val="thickThinSmallGap" w:color="auto" w:sz="18" w:space="0"/>
              <w:right w:val="single" w:color="auto" w:sz="4" w:space="0"/>
            </w:tcBorders>
            <w:vAlign w:val="center"/>
          </w:tcPr>
          <w:p>
            <w:pPr>
              <w:jc w:val="center"/>
              <w:rPr>
                <w:rFonts w:ascii="宋体" w:hAnsi="宋体"/>
              </w:rPr>
            </w:pPr>
            <w:r>
              <w:rPr>
                <w:rFonts w:hint="eastAsia" w:ascii="宋体" w:hAnsi="宋体"/>
              </w:rPr>
              <w:t>4</w:t>
            </w:r>
          </w:p>
        </w:tc>
        <w:tc>
          <w:tcPr>
            <w:tcW w:w="838" w:type="pct"/>
            <w:tcBorders>
              <w:top w:val="single" w:color="auto" w:sz="4" w:space="0"/>
              <w:left w:val="single" w:color="auto" w:sz="4" w:space="0"/>
              <w:bottom w:val="thickThinSmallGap" w:color="auto" w:sz="18" w:space="0"/>
              <w:right w:val="single" w:color="auto" w:sz="4" w:space="0"/>
            </w:tcBorders>
            <w:vAlign w:val="center"/>
          </w:tcPr>
          <w:p>
            <w:pPr>
              <w:spacing w:line="300" w:lineRule="auto"/>
              <w:jc w:val="center"/>
              <w:rPr>
                <w:rFonts w:ascii="宋体" w:hAnsi="宋体" w:cs="宋体"/>
              </w:rPr>
            </w:pPr>
          </w:p>
        </w:tc>
        <w:tc>
          <w:tcPr>
            <w:tcW w:w="3643" w:type="pct"/>
            <w:tcBorders>
              <w:top w:val="single" w:color="auto" w:sz="4" w:space="0"/>
              <w:left w:val="single" w:color="auto" w:sz="4" w:space="0"/>
              <w:bottom w:val="thickThinSmallGap" w:color="auto" w:sz="18" w:space="0"/>
              <w:right w:val="thickThinSmallGap" w:color="auto" w:sz="18" w:space="0"/>
            </w:tcBorders>
            <w:vAlign w:val="center"/>
          </w:tcPr>
          <w:p>
            <w:pPr>
              <w:spacing w:line="300" w:lineRule="auto"/>
              <w:ind w:left="686" w:hanging="686" w:hangingChars="245"/>
              <w:rPr>
                <w:rFonts w:ascii="宋体" w:hAnsi="宋体"/>
              </w:rPr>
            </w:pPr>
          </w:p>
        </w:tc>
      </w:tr>
    </w:tbl>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widowControl/>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pPr>
        <w:jc w:val="center"/>
        <w:rPr>
          <w:rFonts w:ascii="方正小标宋简体" w:eastAsia="方正小标宋简体" w:hAnsiTheme="minorEastAsia"/>
          <w:sz w:val="32"/>
          <w:szCs w:val="32"/>
        </w:rPr>
      </w:pPr>
      <w:r>
        <w:rPr>
          <w:rFonts w:hint="eastAsia" w:ascii="方正小标宋简体" w:eastAsia="方正小标宋简体" w:hAnsiTheme="minorEastAsia"/>
          <w:sz w:val="32"/>
          <w:szCs w:val="32"/>
        </w:rPr>
        <w:t>广州南方学院图书馆视频监控建设项目售后服务承诺书</w:t>
      </w:r>
    </w:p>
    <w:p>
      <w:pPr>
        <w:spacing w:line="240" w:lineRule="auto"/>
        <w:rPr>
          <w:rFonts w:ascii="宋体" w:hAnsi="宋体"/>
          <w:sz w:val="24"/>
        </w:rPr>
      </w:pPr>
    </w:p>
    <w:p>
      <w:pPr>
        <w:spacing w:line="240" w:lineRule="auto"/>
        <w:ind w:firstLine="480" w:firstLineChars="200"/>
        <w:rPr>
          <w:rFonts w:ascii="宋体" w:hAnsi="宋体"/>
          <w:sz w:val="24"/>
        </w:rPr>
      </w:pPr>
      <w:r>
        <w:rPr>
          <w:rFonts w:ascii="宋体" w:hAnsi="宋体"/>
          <w:sz w:val="24"/>
        </w:rPr>
        <w:t>1.保修期：</w:t>
      </w:r>
      <w:r>
        <w:rPr>
          <w:rFonts w:hint="eastAsia" w:ascii="宋体" w:hAnsi="宋体"/>
          <w:sz w:val="24"/>
        </w:rPr>
        <w:t>除特别说明的设备外，项目中的设备及主要零配件都提供3年的质保期，其他配件，如属有限保修的配件，需提供具体的保修条款，如无提供具体说明的配件，按叁年质保期执行。质保期内，如出现非人为及不可抗力因素造成的质量问题，供应商必须负责免费维修。</w:t>
      </w:r>
    </w:p>
    <w:p>
      <w:pPr>
        <w:spacing w:line="24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保修期内，所有硬件设备的维修均为免费。</w:t>
      </w:r>
      <w:bookmarkStart w:id="11" w:name="_Ref399062282"/>
    </w:p>
    <w:p>
      <w:pPr>
        <w:spacing w:line="24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我公司提供的</w:t>
      </w:r>
      <w:r>
        <w:rPr>
          <w:rFonts w:ascii="宋体" w:hAnsi="宋体"/>
          <w:sz w:val="24"/>
        </w:rPr>
        <w:t>设备故障报修的响应时间</w:t>
      </w:r>
      <w:r>
        <w:rPr>
          <w:rFonts w:hint="eastAsia" w:ascii="宋体" w:hAnsi="宋体"/>
          <w:sz w:val="24"/>
        </w:rPr>
        <w:t>：</w:t>
      </w:r>
      <w:r>
        <w:rPr>
          <w:rFonts w:ascii="宋体" w:hAnsi="宋体"/>
          <w:sz w:val="24"/>
        </w:rPr>
        <w:t>每天8：00～18：00期间为</w:t>
      </w:r>
      <w:r>
        <w:rPr>
          <w:rFonts w:hint="eastAsia" w:ascii="宋体" w:hAnsi="宋体"/>
          <w:sz w:val="24"/>
        </w:rPr>
        <w:t>4</w:t>
      </w:r>
      <w:r>
        <w:rPr>
          <w:rFonts w:ascii="宋体" w:hAnsi="宋体"/>
          <w:sz w:val="24"/>
        </w:rPr>
        <w:t>小时。其余期间为1</w:t>
      </w:r>
      <w:r>
        <w:rPr>
          <w:rFonts w:hint="eastAsia" w:ascii="宋体" w:hAnsi="宋体"/>
          <w:sz w:val="24"/>
        </w:rPr>
        <w:t>6</w:t>
      </w:r>
      <w:r>
        <w:rPr>
          <w:rFonts w:ascii="宋体" w:hAnsi="宋体"/>
          <w:sz w:val="24"/>
        </w:rPr>
        <w:t>小时。</w:t>
      </w:r>
      <w:r>
        <w:rPr>
          <w:rFonts w:hint="eastAsia" w:ascii="宋体" w:hAnsi="宋体"/>
          <w:sz w:val="24"/>
        </w:rPr>
        <w:t>如果设备故障在检修8小时后仍无法排除，我公司在48小时内提供故障设备规格型号档次的备用设备供项目单位使用，直至故障设备修复。</w:t>
      </w:r>
      <w:bookmarkEnd w:id="11"/>
    </w:p>
    <w:p>
      <w:pPr>
        <w:spacing w:line="240" w:lineRule="auto"/>
        <w:ind w:firstLine="480" w:firstLineChars="200"/>
        <w:rPr>
          <w:rFonts w:ascii="宋体" w:hAnsi="宋体"/>
          <w:sz w:val="24"/>
        </w:rPr>
      </w:pPr>
      <w:r>
        <w:rPr>
          <w:rFonts w:hint="eastAsia" w:ascii="宋体" w:hAnsi="宋体"/>
          <w:sz w:val="24"/>
        </w:rPr>
        <w:t>4</w:t>
      </w:r>
      <w:r>
        <w:rPr>
          <w:rFonts w:ascii="宋体" w:hAnsi="宋体"/>
          <w:sz w:val="24"/>
        </w:rPr>
        <w:t>.货物制造商在用户所在地或附近地区有专业的售后服务力量。</w:t>
      </w:r>
    </w:p>
    <w:p>
      <w:pPr>
        <w:spacing w:line="24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对于不能明确是否是硬件出现故障时，我公司尽力配合应用开发商进行检查，必要时，在上述响应时间内到达现场协助排除问题。</w:t>
      </w:r>
      <w:bookmarkStart w:id="12" w:name="_Ref399062359"/>
    </w:p>
    <w:p>
      <w:pPr>
        <w:spacing w:line="240" w:lineRule="auto"/>
        <w:ind w:firstLine="480" w:firstLineChars="20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保修期内，所有设备维修服务均为上门服务，由此产生的费用均不再收取。</w:t>
      </w:r>
      <w:bookmarkEnd w:id="12"/>
    </w:p>
    <w:p>
      <w:pPr>
        <w:spacing w:line="240" w:lineRule="auto"/>
        <w:ind w:firstLine="480" w:firstLineChars="200"/>
        <w:rPr>
          <w:rFonts w:ascii="宋体" w:hAnsi="宋体"/>
          <w:sz w:val="24"/>
        </w:rPr>
      </w:pPr>
      <w:r>
        <w:rPr>
          <w:rFonts w:hint="eastAsia" w:ascii="宋体" w:hAnsi="宋体"/>
          <w:sz w:val="24"/>
        </w:rPr>
        <w:t>7</w:t>
      </w:r>
      <w:r>
        <w:rPr>
          <w:rFonts w:ascii="宋体" w:hAnsi="宋体"/>
          <w:sz w:val="24"/>
        </w:rPr>
        <w:t>.保修期内，</w:t>
      </w:r>
      <w:r>
        <w:rPr>
          <w:rFonts w:hint="eastAsia" w:ascii="宋体" w:hAnsi="宋体"/>
          <w:sz w:val="24"/>
        </w:rPr>
        <w:t>我公司</w:t>
      </w:r>
      <w:r>
        <w:rPr>
          <w:rFonts w:ascii="宋体" w:hAnsi="宋体"/>
          <w:sz w:val="24"/>
        </w:rPr>
        <w:t>负责对其提供的设备整机进行维修，并且保证每季度上门检修一次，不再向用户收取费用</w:t>
      </w:r>
      <w:r>
        <w:rPr>
          <w:rFonts w:hint="eastAsia" w:ascii="宋体" w:hAnsi="宋体"/>
          <w:sz w:val="24"/>
        </w:rPr>
        <w:t>。</w:t>
      </w:r>
    </w:p>
    <w:p>
      <w:pPr>
        <w:spacing w:line="240" w:lineRule="auto"/>
        <w:ind w:firstLine="480" w:firstLineChars="200"/>
        <w:rPr>
          <w:rFonts w:ascii="宋体" w:hAnsi="宋体"/>
          <w:sz w:val="24"/>
        </w:rPr>
      </w:pPr>
      <w:r>
        <w:rPr>
          <w:rFonts w:ascii="宋体" w:hAnsi="宋体"/>
          <w:sz w:val="24"/>
        </w:rPr>
        <w:t>8.</w:t>
      </w:r>
      <w:r>
        <w:rPr>
          <w:rFonts w:hint="eastAsia" w:ascii="宋体" w:hAnsi="宋体"/>
          <w:sz w:val="24"/>
        </w:rPr>
        <w:t>保修期满后，我公司为本项目设备继续提供免费技术支持服务，当需更换产品、模块、部件或进行维修的按当时的市场优惠价格为用户提供相关服务。</w:t>
      </w:r>
      <w:bookmarkStart w:id="13" w:name="_Ref399062412"/>
    </w:p>
    <w:p>
      <w:pPr>
        <w:spacing w:line="240" w:lineRule="auto"/>
        <w:ind w:firstLine="480" w:firstLineChars="200"/>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乙方</w:t>
      </w:r>
      <w:r>
        <w:rPr>
          <w:rFonts w:ascii="宋体" w:hAnsi="宋体"/>
          <w:sz w:val="24"/>
        </w:rPr>
        <w:t>交付的产品质量保证期为</w:t>
      </w:r>
      <w:r>
        <w:rPr>
          <w:rFonts w:hint="eastAsia" w:ascii="宋体" w:hAnsi="宋体"/>
          <w:sz w:val="24"/>
        </w:rPr>
        <w:t>3年</w:t>
      </w:r>
      <w:r>
        <w:rPr>
          <w:rFonts w:ascii="宋体" w:hAnsi="宋体"/>
          <w:sz w:val="24"/>
        </w:rPr>
        <w:t>，自</w:t>
      </w:r>
      <w:r>
        <w:rPr>
          <w:rFonts w:hint="eastAsia" w:ascii="宋体" w:hAnsi="宋体"/>
          <w:sz w:val="24"/>
        </w:rPr>
        <w:t>该</w:t>
      </w:r>
      <w:r>
        <w:rPr>
          <w:rFonts w:ascii="宋体" w:hAnsi="宋体"/>
          <w:sz w:val="24"/>
        </w:rPr>
        <w:t>产品经甲方验收合格签</w:t>
      </w:r>
      <w:r>
        <w:rPr>
          <w:rFonts w:hint="eastAsia" w:ascii="宋体" w:hAnsi="宋体"/>
          <w:sz w:val="24"/>
        </w:rPr>
        <w:t>字</w:t>
      </w:r>
      <w:r>
        <w:rPr>
          <w:rFonts w:ascii="宋体" w:hAnsi="宋体"/>
          <w:sz w:val="24"/>
        </w:rPr>
        <w:t>之日起算</w:t>
      </w:r>
      <w:bookmarkEnd w:id="13"/>
      <w:r>
        <w:rPr>
          <w:rFonts w:hint="eastAsia" w:ascii="宋体" w:hAnsi="宋体"/>
          <w:sz w:val="24"/>
        </w:rPr>
        <w:t>。</w:t>
      </w:r>
    </w:p>
    <w:p>
      <w:pPr>
        <w:spacing w:line="240" w:lineRule="auto"/>
        <w:ind w:firstLine="480" w:firstLineChars="200"/>
        <w:rPr>
          <w:rFonts w:ascii="宋体" w:hAnsi="宋体"/>
          <w:sz w:val="24"/>
        </w:rPr>
      </w:pPr>
      <w:r>
        <w:rPr>
          <w:rFonts w:hint="eastAsia" w:ascii="宋体" w:hAnsi="宋体"/>
          <w:sz w:val="24"/>
        </w:rPr>
        <w:t>10.自质量保证期到期之日起，由我公司提供3年免费保修服务（另有特别说明的，按其要求执行）。免费保修期届满后，如甲方需要乙方继续提供维护服务，由甲乙双方另行协商。</w:t>
      </w:r>
    </w:p>
    <w:sectPr>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dobeSongStd-Light">
    <w:altName w:val="宋体"/>
    <w:panose1 w:val="00000000000000000000"/>
    <w:charset w:val="86"/>
    <w:family w:val="auto"/>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9154590"/>
      <w:docPartObj>
        <w:docPartGallery w:val="autotext"/>
      </w:docPartObj>
    </w:sdtPr>
    <w:sdtContent>
      <w:p>
        <w:pPr>
          <w:pStyle w:val="11"/>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C1810"/>
    <w:multiLevelType w:val="multilevel"/>
    <w:tmpl w:val="5CEC1810"/>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1F0336"/>
    <w:rsid w:val="0001101E"/>
    <w:rsid w:val="00013FBA"/>
    <w:rsid w:val="00014295"/>
    <w:rsid w:val="000164B1"/>
    <w:rsid w:val="00020D70"/>
    <w:rsid w:val="00022C05"/>
    <w:rsid w:val="000246BA"/>
    <w:rsid w:val="000264D0"/>
    <w:rsid w:val="00027BD5"/>
    <w:rsid w:val="00035A06"/>
    <w:rsid w:val="00050AB1"/>
    <w:rsid w:val="000607E7"/>
    <w:rsid w:val="000744B6"/>
    <w:rsid w:val="000946B0"/>
    <w:rsid w:val="000958C6"/>
    <w:rsid w:val="000974D1"/>
    <w:rsid w:val="000A4D31"/>
    <w:rsid w:val="000B28C9"/>
    <w:rsid w:val="000B5B59"/>
    <w:rsid w:val="000B5B5A"/>
    <w:rsid w:val="000E136C"/>
    <w:rsid w:val="000F498D"/>
    <w:rsid w:val="00102826"/>
    <w:rsid w:val="001078EE"/>
    <w:rsid w:val="00113E6E"/>
    <w:rsid w:val="001176EB"/>
    <w:rsid w:val="00120DD8"/>
    <w:rsid w:val="00121EFB"/>
    <w:rsid w:val="00124C5A"/>
    <w:rsid w:val="0012504B"/>
    <w:rsid w:val="0014418F"/>
    <w:rsid w:val="00144265"/>
    <w:rsid w:val="00146360"/>
    <w:rsid w:val="00151888"/>
    <w:rsid w:val="00151DF8"/>
    <w:rsid w:val="00153388"/>
    <w:rsid w:val="00165F26"/>
    <w:rsid w:val="00170F8C"/>
    <w:rsid w:val="001719AF"/>
    <w:rsid w:val="00174A7E"/>
    <w:rsid w:val="0018252E"/>
    <w:rsid w:val="00187DE8"/>
    <w:rsid w:val="00195336"/>
    <w:rsid w:val="00197ADD"/>
    <w:rsid w:val="001A2D07"/>
    <w:rsid w:val="001B10A1"/>
    <w:rsid w:val="001B4486"/>
    <w:rsid w:val="001C665C"/>
    <w:rsid w:val="001D2CC1"/>
    <w:rsid w:val="001D62E3"/>
    <w:rsid w:val="001E7646"/>
    <w:rsid w:val="001F02C8"/>
    <w:rsid w:val="001F0336"/>
    <w:rsid w:val="001F2693"/>
    <w:rsid w:val="001F7E8E"/>
    <w:rsid w:val="0020305A"/>
    <w:rsid w:val="00205383"/>
    <w:rsid w:val="002202B3"/>
    <w:rsid w:val="00224B01"/>
    <w:rsid w:val="00226ACA"/>
    <w:rsid w:val="0023190C"/>
    <w:rsid w:val="00242A45"/>
    <w:rsid w:val="002433B1"/>
    <w:rsid w:val="00243576"/>
    <w:rsid w:val="00251CA2"/>
    <w:rsid w:val="00251E11"/>
    <w:rsid w:val="0025380E"/>
    <w:rsid w:val="002570FA"/>
    <w:rsid w:val="002740E8"/>
    <w:rsid w:val="00274C76"/>
    <w:rsid w:val="00284726"/>
    <w:rsid w:val="00286D61"/>
    <w:rsid w:val="002929DE"/>
    <w:rsid w:val="00294A7B"/>
    <w:rsid w:val="002A1E11"/>
    <w:rsid w:val="002B1764"/>
    <w:rsid w:val="002B67CD"/>
    <w:rsid w:val="002D443F"/>
    <w:rsid w:val="002D5388"/>
    <w:rsid w:val="002E4702"/>
    <w:rsid w:val="002E604E"/>
    <w:rsid w:val="002E778F"/>
    <w:rsid w:val="002F0129"/>
    <w:rsid w:val="002F3C3E"/>
    <w:rsid w:val="003054CD"/>
    <w:rsid w:val="00313F5F"/>
    <w:rsid w:val="00321DE2"/>
    <w:rsid w:val="00322620"/>
    <w:rsid w:val="00322C73"/>
    <w:rsid w:val="0032479F"/>
    <w:rsid w:val="00331400"/>
    <w:rsid w:val="00333623"/>
    <w:rsid w:val="003371E2"/>
    <w:rsid w:val="00347241"/>
    <w:rsid w:val="00352E26"/>
    <w:rsid w:val="003552A1"/>
    <w:rsid w:val="00355A46"/>
    <w:rsid w:val="00355D52"/>
    <w:rsid w:val="00360E1E"/>
    <w:rsid w:val="0036280B"/>
    <w:rsid w:val="00363165"/>
    <w:rsid w:val="00363B1F"/>
    <w:rsid w:val="00366958"/>
    <w:rsid w:val="00367E7C"/>
    <w:rsid w:val="003739CB"/>
    <w:rsid w:val="00386900"/>
    <w:rsid w:val="0039077E"/>
    <w:rsid w:val="003A181F"/>
    <w:rsid w:val="003B76BD"/>
    <w:rsid w:val="003C3397"/>
    <w:rsid w:val="003C363A"/>
    <w:rsid w:val="003C5D80"/>
    <w:rsid w:val="003C6A5F"/>
    <w:rsid w:val="003D03EE"/>
    <w:rsid w:val="003D5037"/>
    <w:rsid w:val="003E1C47"/>
    <w:rsid w:val="003E1F9A"/>
    <w:rsid w:val="003E2A77"/>
    <w:rsid w:val="003E6739"/>
    <w:rsid w:val="003F3FEC"/>
    <w:rsid w:val="00404EEB"/>
    <w:rsid w:val="00413D8E"/>
    <w:rsid w:val="00414110"/>
    <w:rsid w:val="004325B7"/>
    <w:rsid w:val="0043490A"/>
    <w:rsid w:val="0044523F"/>
    <w:rsid w:val="004504AC"/>
    <w:rsid w:val="004544F1"/>
    <w:rsid w:val="004735AF"/>
    <w:rsid w:val="00474C43"/>
    <w:rsid w:val="00483090"/>
    <w:rsid w:val="004866E9"/>
    <w:rsid w:val="004A4351"/>
    <w:rsid w:val="004B1D03"/>
    <w:rsid w:val="004B38CC"/>
    <w:rsid w:val="004B4F21"/>
    <w:rsid w:val="004B779A"/>
    <w:rsid w:val="004C10A4"/>
    <w:rsid w:val="004C2231"/>
    <w:rsid w:val="004D0885"/>
    <w:rsid w:val="004D3156"/>
    <w:rsid w:val="004D5575"/>
    <w:rsid w:val="004E541A"/>
    <w:rsid w:val="004F5E0C"/>
    <w:rsid w:val="00501DDA"/>
    <w:rsid w:val="00507F19"/>
    <w:rsid w:val="00512FDB"/>
    <w:rsid w:val="00515E5F"/>
    <w:rsid w:val="00521974"/>
    <w:rsid w:val="00541183"/>
    <w:rsid w:val="00541544"/>
    <w:rsid w:val="00543A22"/>
    <w:rsid w:val="0056429E"/>
    <w:rsid w:val="00566CD8"/>
    <w:rsid w:val="00567477"/>
    <w:rsid w:val="005751B6"/>
    <w:rsid w:val="0057606E"/>
    <w:rsid w:val="00583AFC"/>
    <w:rsid w:val="005915BF"/>
    <w:rsid w:val="005920BC"/>
    <w:rsid w:val="00595241"/>
    <w:rsid w:val="005A2BD6"/>
    <w:rsid w:val="005B3BED"/>
    <w:rsid w:val="005C24C7"/>
    <w:rsid w:val="005C4ED6"/>
    <w:rsid w:val="005C5EDA"/>
    <w:rsid w:val="005D2966"/>
    <w:rsid w:val="005E3D3A"/>
    <w:rsid w:val="005E44E3"/>
    <w:rsid w:val="005F79F9"/>
    <w:rsid w:val="006074E9"/>
    <w:rsid w:val="00611FB2"/>
    <w:rsid w:val="00613676"/>
    <w:rsid w:val="00630094"/>
    <w:rsid w:val="0064312D"/>
    <w:rsid w:val="006470A6"/>
    <w:rsid w:val="00662F1D"/>
    <w:rsid w:val="006701E1"/>
    <w:rsid w:val="00682DAE"/>
    <w:rsid w:val="0069191F"/>
    <w:rsid w:val="00691B7F"/>
    <w:rsid w:val="00694707"/>
    <w:rsid w:val="00696CD8"/>
    <w:rsid w:val="006C0236"/>
    <w:rsid w:val="006C4318"/>
    <w:rsid w:val="006D3E2D"/>
    <w:rsid w:val="006E0C77"/>
    <w:rsid w:val="006E6983"/>
    <w:rsid w:val="006E75B3"/>
    <w:rsid w:val="006F10B3"/>
    <w:rsid w:val="006F31A7"/>
    <w:rsid w:val="006F4BAD"/>
    <w:rsid w:val="0070252D"/>
    <w:rsid w:val="0070269C"/>
    <w:rsid w:val="00715789"/>
    <w:rsid w:val="00727770"/>
    <w:rsid w:val="007358EB"/>
    <w:rsid w:val="007413FE"/>
    <w:rsid w:val="0075367B"/>
    <w:rsid w:val="00753AB0"/>
    <w:rsid w:val="00754FD3"/>
    <w:rsid w:val="0076208E"/>
    <w:rsid w:val="007654EC"/>
    <w:rsid w:val="00766A74"/>
    <w:rsid w:val="007811BC"/>
    <w:rsid w:val="0078156E"/>
    <w:rsid w:val="00786C93"/>
    <w:rsid w:val="00791B5C"/>
    <w:rsid w:val="00796952"/>
    <w:rsid w:val="007A4728"/>
    <w:rsid w:val="007B10D3"/>
    <w:rsid w:val="007B1339"/>
    <w:rsid w:val="007B3234"/>
    <w:rsid w:val="007B7805"/>
    <w:rsid w:val="007E393B"/>
    <w:rsid w:val="007F19E8"/>
    <w:rsid w:val="007F3E63"/>
    <w:rsid w:val="007F7DE9"/>
    <w:rsid w:val="008016AE"/>
    <w:rsid w:val="00833FA1"/>
    <w:rsid w:val="008420D5"/>
    <w:rsid w:val="00845816"/>
    <w:rsid w:val="00863175"/>
    <w:rsid w:val="008637FA"/>
    <w:rsid w:val="00863FB6"/>
    <w:rsid w:val="00864DD4"/>
    <w:rsid w:val="0088038D"/>
    <w:rsid w:val="00883FF4"/>
    <w:rsid w:val="00890306"/>
    <w:rsid w:val="008953EE"/>
    <w:rsid w:val="00895B15"/>
    <w:rsid w:val="008B0388"/>
    <w:rsid w:val="008B1F99"/>
    <w:rsid w:val="008C4348"/>
    <w:rsid w:val="008C49AB"/>
    <w:rsid w:val="008C7B2B"/>
    <w:rsid w:val="008D1137"/>
    <w:rsid w:val="008D196B"/>
    <w:rsid w:val="008D5A26"/>
    <w:rsid w:val="008F0D7B"/>
    <w:rsid w:val="008F127F"/>
    <w:rsid w:val="008F17B6"/>
    <w:rsid w:val="008F482E"/>
    <w:rsid w:val="008F7910"/>
    <w:rsid w:val="0090150D"/>
    <w:rsid w:val="00903D22"/>
    <w:rsid w:val="00913021"/>
    <w:rsid w:val="00913D56"/>
    <w:rsid w:val="00914845"/>
    <w:rsid w:val="00916BB0"/>
    <w:rsid w:val="00917956"/>
    <w:rsid w:val="00923368"/>
    <w:rsid w:val="00925C28"/>
    <w:rsid w:val="00931649"/>
    <w:rsid w:val="009345B6"/>
    <w:rsid w:val="00941394"/>
    <w:rsid w:val="00941658"/>
    <w:rsid w:val="009440E5"/>
    <w:rsid w:val="0094547C"/>
    <w:rsid w:val="0094673A"/>
    <w:rsid w:val="00950AA4"/>
    <w:rsid w:val="00951180"/>
    <w:rsid w:val="00954453"/>
    <w:rsid w:val="009625BB"/>
    <w:rsid w:val="009676AC"/>
    <w:rsid w:val="00981B56"/>
    <w:rsid w:val="009849B1"/>
    <w:rsid w:val="0098707F"/>
    <w:rsid w:val="0099670B"/>
    <w:rsid w:val="009A0519"/>
    <w:rsid w:val="009A56F1"/>
    <w:rsid w:val="009A65C3"/>
    <w:rsid w:val="009B0FC5"/>
    <w:rsid w:val="009C0BC5"/>
    <w:rsid w:val="009E053B"/>
    <w:rsid w:val="009E1854"/>
    <w:rsid w:val="009F0B76"/>
    <w:rsid w:val="009F2ED7"/>
    <w:rsid w:val="00A04FDC"/>
    <w:rsid w:val="00A06754"/>
    <w:rsid w:val="00A10867"/>
    <w:rsid w:val="00A12678"/>
    <w:rsid w:val="00A20B9E"/>
    <w:rsid w:val="00A22595"/>
    <w:rsid w:val="00A22E17"/>
    <w:rsid w:val="00A24643"/>
    <w:rsid w:val="00A27727"/>
    <w:rsid w:val="00A348A3"/>
    <w:rsid w:val="00A36657"/>
    <w:rsid w:val="00A431D0"/>
    <w:rsid w:val="00A43CB0"/>
    <w:rsid w:val="00A46F0B"/>
    <w:rsid w:val="00A57D4C"/>
    <w:rsid w:val="00A769C6"/>
    <w:rsid w:val="00A834A0"/>
    <w:rsid w:val="00A83B82"/>
    <w:rsid w:val="00A87221"/>
    <w:rsid w:val="00A90D9C"/>
    <w:rsid w:val="00AA0E0C"/>
    <w:rsid w:val="00AB0299"/>
    <w:rsid w:val="00AB0BE6"/>
    <w:rsid w:val="00AB2FEE"/>
    <w:rsid w:val="00AB32D7"/>
    <w:rsid w:val="00AB608A"/>
    <w:rsid w:val="00AC1282"/>
    <w:rsid w:val="00AC3436"/>
    <w:rsid w:val="00AC4779"/>
    <w:rsid w:val="00AC6E33"/>
    <w:rsid w:val="00AD5D53"/>
    <w:rsid w:val="00AE69A3"/>
    <w:rsid w:val="00AF270B"/>
    <w:rsid w:val="00B10C0B"/>
    <w:rsid w:val="00B158E8"/>
    <w:rsid w:val="00B16512"/>
    <w:rsid w:val="00B16CED"/>
    <w:rsid w:val="00B20E2D"/>
    <w:rsid w:val="00B23B5D"/>
    <w:rsid w:val="00B26E32"/>
    <w:rsid w:val="00B31A20"/>
    <w:rsid w:val="00B346F9"/>
    <w:rsid w:val="00B46511"/>
    <w:rsid w:val="00B47C6B"/>
    <w:rsid w:val="00B555DA"/>
    <w:rsid w:val="00B64A9C"/>
    <w:rsid w:val="00B6540F"/>
    <w:rsid w:val="00B67522"/>
    <w:rsid w:val="00B74240"/>
    <w:rsid w:val="00B75555"/>
    <w:rsid w:val="00B767AC"/>
    <w:rsid w:val="00B77B93"/>
    <w:rsid w:val="00B8069D"/>
    <w:rsid w:val="00B90FFD"/>
    <w:rsid w:val="00BA1C44"/>
    <w:rsid w:val="00BB0F32"/>
    <w:rsid w:val="00BB5E74"/>
    <w:rsid w:val="00BB7FF8"/>
    <w:rsid w:val="00BC1A1A"/>
    <w:rsid w:val="00BD000A"/>
    <w:rsid w:val="00BD1D51"/>
    <w:rsid w:val="00BD470C"/>
    <w:rsid w:val="00BE1219"/>
    <w:rsid w:val="00BE235C"/>
    <w:rsid w:val="00BE41E7"/>
    <w:rsid w:val="00BE4411"/>
    <w:rsid w:val="00BF0187"/>
    <w:rsid w:val="00BF1AA6"/>
    <w:rsid w:val="00BF2D1A"/>
    <w:rsid w:val="00BF7353"/>
    <w:rsid w:val="00C02ABB"/>
    <w:rsid w:val="00C03332"/>
    <w:rsid w:val="00C15327"/>
    <w:rsid w:val="00C17548"/>
    <w:rsid w:val="00C2206D"/>
    <w:rsid w:val="00C22D1A"/>
    <w:rsid w:val="00C30A50"/>
    <w:rsid w:val="00C4077C"/>
    <w:rsid w:val="00C434E5"/>
    <w:rsid w:val="00C452A9"/>
    <w:rsid w:val="00C45BC6"/>
    <w:rsid w:val="00C51258"/>
    <w:rsid w:val="00C54C42"/>
    <w:rsid w:val="00C65093"/>
    <w:rsid w:val="00C703BF"/>
    <w:rsid w:val="00C7246D"/>
    <w:rsid w:val="00C81F1B"/>
    <w:rsid w:val="00C9203D"/>
    <w:rsid w:val="00C950EB"/>
    <w:rsid w:val="00C962BA"/>
    <w:rsid w:val="00C96E30"/>
    <w:rsid w:val="00CA014A"/>
    <w:rsid w:val="00CA5E54"/>
    <w:rsid w:val="00CB1D7B"/>
    <w:rsid w:val="00CB4CD2"/>
    <w:rsid w:val="00CD739D"/>
    <w:rsid w:val="00CD78DE"/>
    <w:rsid w:val="00CD7B6A"/>
    <w:rsid w:val="00CD7BEA"/>
    <w:rsid w:val="00CE182C"/>
    <w:rsid w:val="00CE4A9B"/>
    <w:rsid w:val="00CE5867"/>
    <w:rsid w:val="00CF1C0C"/>
    <w:rsid w:val="00D21664"/>
    <w:rsid w:val="00D22183"/>
    <w:rsid w:val="00D52B3C"/>
    <w:rsid w:val="00D53E7C"/>
    <w:rsid w:val="00D55572"/>
    <w:rsid w:val="00D555A3"/>
    <w:rsid w:val="00D565DE"/>
    <w:rsid w:val="00D56B46"/>
    <w:rsid w:val="00D57E52"/>
    <w:rsid w:val="00D62A5C"/>
    <w:rsid w:val="00D65819"/>
    <w:rsid w:val="00D7060C"/>
    <w:rsid w:val="00D716A0"/>
    <w:rsid w:val="00D734BE"/>
    <w:rsid w:val="00D7660B"/>
    <w:rsid w:val="00D77CB8"/>
    <w:rsid w:val="00D836D8"/>
    <w:rsid w:val="00DA2214"/>
    <w:rsid w:val="00DC0607"/>
    <w:rsid w:val="00DC1D30"/>
    <w:rsid w:val="00DC4559"/>
    <w:rsid w:val="00DD0A11"/>
    <w:rsid w:val="00DD598E"/>
    <w:rsid w:val="00DD5DE4"/>
    <w:rsid w:val="00DE1865"/>
    <w:rsid w:val="00DE30EF"/>
    <w:rsid w:val="00DE5BD2"/>
    <w:rsid w:val="00DE7A68"/>
    <w:rsid w:val="00DF0CFA"/>
    <w:rsid w:val="00DF6719"/>
    <w:rsid w:val="00E10D0E"/>
    <w:rsid w:val="00E22AC1"/>
    <w:rsid w:val="00E30762"/>
    <w:rsid w:val="00E31FA1"/>
    <w:rsid w:val="00E326D8"/>
    <w:rsid w:val="00E3759E"/>
    <w:rsid w:val="00E40489"/>
    <w:rsid w:val="00E42ECB"/>
    <w:rsid w:val="00E51CD5"/>
    <w:rsid w:val="00E52741"/>
    <w:rsid w:val="00E57CAD"/>
    <w:rsid w:val="00E60C27"/>
    <w:rsid w:val="00E63D33"/>
    <w:rsid w:val="00E66046"/>
    <w:rsid w:val="00E75D5F"/>
    <w:rsid w:val="00E822F6"/>
    <w:rsid w:val="00E82D33"/>
    <w:rsid w:val="00E91303"/>
    <w:rsid w:val="00EA0A83"/>
    <w:rsid w:val="00EB2CA6"/>
    <w:rsid w:val="00EB53A9"/>
    <w:rsid w:val="00EF6DE7"/>
    <w:rsid w:val="00F06DBB"/>
    <w:rsid w:val="00F12D5A"/>
    <w:rsid w:val="00F16BD4"/>
    <w:rsid w:val="00F31778"/>
    <w:rsid w:val="00F37890"/>
    <w:rsid w:val="00F37B0B"/>
    <w:rsid w:val="00F46967"/>
    <w:rsid w:val="00F572E9"/>
    <w:rsid w:val="00F60AD7"/>
    <w:rsid w:val="00F64DB9"/>
    <w:rsid w:val="00F802CD"/>
    <w:rsid w:val="00F82366"/>
    <w:rsid w:val="00F82DD0"/>
    <w:rsid w:val="00F852A5"/>
    <w:rsid w:val="00F900FD"/>
    <w:rsid w:val="00F92B7C"/>
    <w:rsid w:val="00FA2483"/>
    <w:rsid w:val="00FA5048"/>
    <w:rsid w:val="00FA6B49"/>
    <w:rsid w:val="00FB20B4"/>
    <w:rsid w:val="00FB467E"/>
    <w:rsid w:val="00FC5796"/>
    <w:rsid w:val="00FD137E"/>
    <w:rsid w:val="00FD68DF"/>
    <w:rsid w:val="00FE07F3"/>
    <w:rsid w:val="00FE17C2"/>
    <w:rsid w:val="00FE1F45"/>
    <w:rsid w:val="00FE412A"/>
    <w:rsid w:val="00FF333D"/>
    <w:rsid w:val="17784CB3"/>
    <w:rsid w:val="7B235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eastAsia="宋体" w:asciiTheme="minorHAnsi" w:hAnsiTheme="minorHAnsi" w:cstheme="minorBidi"/>
      <w:kern w:val="2"/>
      <w:sz w:val="28"/>
      <w:szCs w:val="21"/>
      <w:lang w:val="en-US" w:eastAsia="zh-CN" w:bidi="ar-SA"/>
    </w:rPr>
  </w:style>
  <w:style w:type="paragraph" w:styleId="2">
    <w:name w:val="heading 1"/>
    <w:basedOn w:val="1"/>
    <w:next w:val="1"/>
    <w:link w:val="22"/>
    <w:qFormat/>
    <w:uiPriority w:val="9"/>
    <w:pPr>
      <w:keepNext/>
      <w:keepLines/>
      <w:spacing w:before="340" w:after="330" w:line="578" w:lineRule="auto"/>
      <w:outlineLvl w:val="0"/>
    </w:pPr>
    <w:rPr>
      <w:rFonts w:eastAsia="黑体"/>
      <w:bCs/>
      <w:kern w:val="44"/>
      <w:sz w:val="32"/>
      <w:szCs w:val="44"/>
    </w:rPr>
  </w:style>
  <w:style w:type="paragraph" w:styleId="3">
    <w:name w:val="heading 2"/>
    <w:basedOn w:val="1"/>
    <w:next w:val="1"/>
    <w:link w:val="23"/>
    <w:unhideWhenUsed/>
    <w:qFormat/>
    <w:uiPriority w:val="9"/>
    <w:pPr>
      <w:keepNext/>
      <w:keepLines/>
      <w:spacing w:before="260" w:after="260" w:line="416" w:lineRule="auto"/>
      <w:outlineLvl w:val="1"/>
    </w:pPr>
    <w:rPr>
      <w:rFonts w:eastAsia="黑体" w:asciiTheme="majorHAnsi" w:hAnsiTheme="majorHAnsi" w:cstheme="majorBidi"/>
      <w:bCs/>
      <w:sz w:val="30"/>
      <w:szCs w:val="32"/>
    </w:rPr>
  </w:style>
  <w:style w:type="paragraph" w:styleId="4">
    <w:name w:val="heading 3"/>
    <w:basedOn w:val="1"/>
    <w:next w:val="1"/>
    <w:link w:val="24"/>
    <w:unhideWhenUsed/>
    <w:qFormat/>
    <w:uiPriority w:val="9"/>
    <w:pPr>
      <w:keepNext/>
      <w:keepLines/>
      <w:spacing w:before="260" w:after="260" w:line="416" w:lineRule="auto"/>
      <w:outlineLvl w:val="2"/>
    </w:pPr>
    <w:rPr>
      <w:rFonts w:eastAsia="黑体"/>
      <w:bCs/>
      <w:szCs w:val="32"/>
    </w:rPr>
  </w:style>
  <w:style w:type="paragraph" w:styleId="5">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26"/>
    <w:unhideWhenUsed/>
    <w:qFormat/>
    <w:uiPriority w:val="9"/>
    <w:pPr>
      <w:keepNext/>
      <w:keepLines/>
      <w:spacing w:before="280" w:after="290" w:line="376" w:lineRule="auto"/>
      <w:outlineLvl w:val="4"/>
    </w:pPr>
    <w:rPr>
      <w:b/>
      <w:bCs/>
      <w:szCs w:val="28"/>
    </w:rPr>
  </w:style>
  <w:style w:type="character" w:default="1" w:styleId="18">
    <w:name w:val="Default Paragraph Font"/>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Document Map"/>
    <w:basedOn w:val="1"/>
    <w:link w:val="33"/>
    <w:semiHidden/>
    <w:unhideWhenUsed/>
    <w:uiPriority w:val="99"/>
    <w:rPr>
      <w:rFonts w:ascii="宋体"/>
      <w:sz w:val="18"/>
      <w:szCs w:val="18"/>
    </w:rPr>
  </w:style>
  <w:style w:type="paragraph" w:styleId="8">
    <w:name w:val="annotation text"/>
    <w:basedOn w:val="1"/>
    <w:link w:val="34"/>
    <w:semiHidden/>
    <w:unhideWhenUsed/>
    <w:uiPriority w:val="99"/>
  </w:style>
  <w:style w:type="paragraph" w:styleId="9">
    <w:name w:val="toc 3"/>
    <w:basedOn w:val="1"/>
    <w:next w:val="1"/>
    <w:unhideWhenUsed/>
    <w:uiPriority w:val="39"/>
    <w:pPr>
      <w:ind w:left="840" w:leftChars="400"/>
    </w:pPr>
  </w:style>
  <w:style w:type="paragraph" w:styleId="10">
    <w:name w:val="Balloon Text"/>
    <w:basedOn w:val="1"/>
    <w:link w:val="30"/>
    <w:semiHidden/>
    <w:unhideWhenUsed/>
    <w:uiPriority w:val="99"/>
    <w:rPr>
      <w:sz w:val="18"/>
      <w:szCs w:val="18"/>
    </w:rPr>
  </w:style>
  <w:style w:type="paragraph" w:styleId="11">
    <w:name w:val="footer"/>
    <w:basedOn w:val="1"/>
    <w:link w:val="32"/>
    <w:unhideWhenUsed/>
    <w:uiPriority w:val="99"/>
    <w:pPr>
      <w:tabs>
        <w:tab w:val="center" w:pos="4153"/>
        <w:tab w:val="right" w:pos="8306"/>
      </w:tabs>
      <w:snapToGrid w:val="0"/>
    </w:pPr>
    <w:rPr>
      <w:sz w:val="18"/>
      <w:szCs w:val="18"/>
    </w:rPr>
  </w:style>
  <w:style w:type="paragraph" w:styleId="12">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uiPriority w:val="39"/>
    <w:pPr>
      <w:tabs>
        <w:tab w:val="right" w:leader="dot" w:pos="8296"/>
      </w:tabs>
    </w:pPr>
  </w:style>
  <w:style w:type="paragraph" w:styleId="14">
    <w:name w:val="toc 4"/>
    <w:basedOn w:val="1"/>
    <w:next w:val="1"/>
    <w:unhideWhenUsed/>
    <w:uiPriority w:val="39"/>
    <w:pPr>
      <w:ind w:left="1260" w:leftChars="600"/>
    </w:pPr>
  </w:style>
  <w:style w:type="paragraph" w:styleId="15">
    <w:name w:val="toc 2"/>
    <w:basedOn w:val="1"/>
    <w:next w:val="1"/>
    <w:unhideWhenUsed/>
    <w:uiPriority w:val="39"/>
    <w:pPr>
      <w:ind w:left="420" w:leftChars="200"/>
    </w:pPr>
  </w:style>
  <w:style w:type="paragraph" w:styleId="16">
    <w:name w:val="annotation subject"/>
    <w:basedOn w:val="8"/>
    <w:next w:val="8"/>
    <w:link w:val="35"/>
    <w:semiHidden/>
    <w:unhideWhenUsed/>
    <w:uiPriority w:val="99"/>
    <w:rPr>
      <w:b/>
      <w:bCs/>
    </w:rPr>
  </w:style>
  <w:style w:type="character" w:styleId="19">
    <w:name w:val="Strong"/>
    <w:basedOn w:val="18"/>
    <w:qFormat/>
    <w:uiPriority w:val="22"/>
    <w:rPr>
      <w:b/>
      <w:bCs/>
    </w:rPr>
  </w:style>
  <w:style w:type="character" w:styleId="20">
    <w:name w:val="Hyperlink"/>
    <w:basedOn w:val="18"/>
    <w:unhideWhenUsed/>
    <w:uiPriority w:val="99"/>
    <w:rPr>
      <w:color w:val="0000FF" w:themeColor="hyperlink"/>
      <w:u w:val="single"/>
    </w:rPr>
  </w:style>
  <w:style w:type="character" w:styleId="21">
    <w:name w:val="annotation reference"/>
    <w:basedOn w:val="18"/>
    <w:semiHidden/>
    <w:unhideWhenUsed/>
    <w:uiPriority w:val="99"/>
    <w:rPr>
      <w:sz w:val="21"/>
      <w:szCs w:val="21"/>
    </w:rPr>
  </w:style>
  <w:style w:type="character" w:customStyle="1" w:styleId="22">
    <w:name w:val="标题 1 字符"/>
    <w:basedOn w:val="18"/>
    <w:link w:val="2"/>
    <w:uiPriority w:val="9"/>
    <w:rPr>
      <w:rFonts w:eastAsia="黑体"/>
      <w:bCs/>
      <w:kern w:val="44"/>
      <w:sz w:val="32"/>
      <w:szCs w:val="44"/>
    </w:rPr>
  </w:style>
  <w:style w:type="character" w:customStyle="1" w:styleId="23">
    <w:name w:val="标题 2 字符"/>
    <w:basedOn w:val="18"/>
    <w:link w:val="3"/>
    <w:uiPriority w:val="9"/>
    <w:rPr>
      <w:rFonts w:eastAsia="黑体" w:asciiTheme="majorHAnsi" w:hAnsiTheme="majorHAnsi" w:cstheme="majorBidi"/>
      <w:bCs/>
      <w:sz w:val="30"/>
      <w:szCs w:val="32"/>
    </w:rPr>
  </w:style>
  <w:style w:type="character" w:customStyle="1" w:styleId="24">
    <w:name w:val="标题 3 字符"/>
    <w:basedOn w:val="18"/>
    <w:link w:val="4"/>
    <w:uiPriority w:val="9"/>
    <w:rPr>
      <w:rFonts w:eastAsia="黑体"/>
      <w:bCs/>
      <w:sz w:val="28"/>
      <w:szCs w:val="32"/>
    </w:rPr>
  </w:style>
  <w:style w:type="character" w:customStyle="1" w:styleId="25">
    <w:name w:val="标题 4 字符"/>
    <w:basedOn w:val="18"/>
    <w:link w:val="5"/>
    <w:uiPriority w:val="9"/>
    <w:rPr>
      <w:rFonts w:asciiTheme="majorHAnsi" w:hAnsiTheme="majorHAnsi" w:eastAsiaTheme="majorEastAsia" w:cstheme="majorBidi"/>
      <w:b/>
      <w:bCs/>
      <w:sz w:val="28"/>
      <w:szCs w:val="28"/>
    </w:rPr>
  </w:style>
  <w:style w:type="character" w:customStyle="1" w:styleId="26">
    <w:name w:val="标题 5 字符"/>
    <w:basedOn w:val="18"/>
    <w:link w:val="6"/>
    <w:uiPriority w:val="9"/>
    <w:rPr>
      <w:rFonts w:eastAsia="宋体"/>
      <w:b/>
      <w:bCs/>
      <w:sz w:val="28"/>
      <w:szCs w:val="28"/>
    </w:rPr>
  </w:style>
  <w:style w:type="paragraph" w:styleId="27">
    <w:name w:val="List Paragraph"/>
    <w:basedOn w:val="1"/>
    <w:link w:val="28"/>
    <w:qFormat/>
    <w:uiPriority w:val="34"/>
    <w:pPr>
      <w:ind w:firstLine="420" w:firstLineChars="200"/>
    </w:pPr>
  </w:style>
  <w:style w:type="character" w:customStyle="1" w:styleId="28">
    <w:name w:val="列表段落 字符"/>
    <w:basedOn w:val="18"/>
    <w:link w:val="27"/>
    <w:uiPriority w:val="34"/>
    <w:rPr>
      <w:rFonts w:eastAsia="宋体"/>
      <w:sz w:val="28"/>
    </w:rPr>
  </w:style>
  <w:style w:type="paragraph" w:customStyle="1" w:styleId="29">
    <w:name w:val="TOC Heading"/>
    <w:basedOn w:val="2"/>
    <w:next w:val="1"/>
    <w:semiHidden/>
    <w:unhideWhenUsed/>
    <w:qFormat/>
    <w:uiPriority w:val="39"/>
    <w:pPr>
      <w:widowControl/>
      <w:spacing w:before="480" w:after="0" w:line="276" w:lineRule="auto"/>
      <w:outlineLvl w:val="9"/>
    </w:pPr>
    <w:rPr>
      <w:rFonts w:asciiTheme="majorHAnsi" w:hAnsiTheme="majorHAnsi" w:eastAsiaTheme="majorEastAsia" w:cstheme="majorBidi"/>
      <w:b/>
      <w:color w:val="366091" w:themeColor="accent1" w:themeShade="BF"/>
      <w:kern w:val="0"/>
      <w:sz w:val="28"/>
      <w:szCs w:val="28"/>
    </w:rPr>
  </w:style>
  <w:style w:type="character" w:customStyle="1" w:styleId="30">
    <w:name w:val="批注框文本 字符"/>
    <w:basedOn w:val="18"/>
    <w:link w:val="10"/>
    <w:semiHidden/>
    <w:uiPriority w:val="99"/>
    <w:rPr>
      <w:sz w:val="18"/>
      <w:szCs w:val="18"/>
    </w:rPr>
  </w:style>
  <w:style w:type="character" w:customStyle="1" w:styleId="31">
    <w:name w:val="页眉 字符"/>
    <w:basedOn w:val="18"/>
    <w:link w:val="12"/>
    <w:uiPriority w:val="99"/>
    <w:rPr>
      <w:sz w:val="18"/>
      <w:szCs w:val="18"/>
    </w:rPr>
  </w:style>
  <w:style w:type="character" w:customStyle="1" w:styleId="32">
    <w:name w:val="页脚 字符"/>
    <w:basedOn w:val="18"/>
    <w:link w:val="11"/>
    <w:uiPriority w:val="99"/>
    <w:rPr>
      <w:sz w:val="18"/>
      <w:szCs w:val="18"/>
    </w:rPr>
  </w:style>
  <w:style w:type="character" w:customStyle="1" w:styleId="33">
    <w:name w:val="文档结构图 字符"/>
    <w:basedOn w:val="18"/>
    <w:link w:val="7"/>
    <w:semiHidden/>
    <w:uiPriority w:val="99"/>
    <w:rPr>
      <w:rFonts w:ascii="宋体" w:eastAsia="宋体"/>
      <w:sz w:val="18"/>
      <w:szCs w:val="18"/>
    </w:rPr>
  </w:style>
  <w:style w:type="character" w:customStyle="1" w:styleId="34">
    <w:name w:val="批注文字 字符"/>
    <w:basedOn w:val="18"/>
    <w:link w:val="8"/>
    <w:semiHidden/>
    <w:uiPriority w:val="99"/>
    <w:rPr>
      <w:rFonts w:eastAsia="宋体"/>
      <w:sz w:val="28"/>
    </w:rPr>
  </w:style>
  <w:style w:type="character" w:customStyle="1" w:styleId="35">
    <w:name w:val="批注主题 字符"/>
    <w:basedOn w:val="34"/>
    <w:link w:val="16"/>
    <w:semiHidden/>
    <w:uiPriority w:val="99"/>
    <w:rPr>
      <w:rFonts w:eastAsia="宋体"/>
      <w:b/>
      <w:bCs/>
      <w:sz w:val="28"/>
    </w:rPr>
  </w:style>
  <w:style w:type="paragraph" w:customStyle="1" w:styleId="36">
    <w:name w:val="正文 A"/>
    <w:qFormat/>
    <w:uiPriority w:val="99"/>
    <w:pPr>
      <w:widowControl w:val="0"/>
      <w:jc w:val="both"/>
    </w:pPr>
    <w:rPr>
      <w:rFonts w:ascii="Times New Roman" w:hAnsi="Times New Roman" w:eastAsia="Times New Roman" w:cs="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4B7C7B-34A8-4D0B-A57B-69D691BEF78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2839</Words>
  <Characters>16185</Characters>
  <Lines>134</Lines>
  <Paragraphs>37</Paragraphs>
  <TotalTime>11</TotalTime>
  <ScaleCrop>false</ScaleCrop>
  <LinksUpToDate>false</LinksUpToDate>
  <CharactersWithSpaces>18987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2021-04-25T08:05:00Z</dcterms:created>
  <dc:creator>zgw</dc:creator>
  <cp:lastModifiedBy>Pc</cp:lastModifiedBy>
  <cp:lastPrinted>2019-04-10T08:16:00Z</cp:lastPrinted>
  <dcterms:modified xsi:type="dcterms:W3CDTF">2021-06-09T08:02:06Z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8CDB446727CF41C883C0968BE1D8727B</vt:lpwstr>
  </property>
</Properties>
</file>