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5"/>
        </w:tabs>
        <w:jc w:val="center"/>
        <w:rPr>
          <w:rFonts w:hint="eastAsia" w:ascii="方正小标宋简体" w:eastAsia="方正小标宋简体"/>
          <w:sz w:val="28"/>
          <w:szCs w:val="44"/>
        </w:rPr>
      </w:pPr>
      <w:r>
        <w:rPr>
          <w:rFonts w:hint="eastAsia" w:ascii="方正小标宋简体" w:eastAsia="方正小标宋简体"/>
          <w:sz w:val="28"/>
          <w:szCs w:val="44"/>
        </w:rPr>
        <w:t xml:space="preserve">  </w:t>
      </w:r>
    </w:p>
    <w:p>
      <w:pPr>
        <w:tabs>
          <w:tab w:val="left" w:pos="425"/>
        </w:tabs>
        <w:jc w:val="center"/>
        <w:rPr>
          <w:rFonts w:ascii="黑体" w:hAnsi="黑体" w:eastAsia="黑体" w:cs="黑体"/>
          <w:sz w:val="32"/>
          <w:szCs w:val="32"/>
        </w:rPr>
      </w:pPr>
      <w:r>
        <w:rPr>
          <w:rFonts w:hint="eastAsia" w:ascii="黑体" w:hAnsi="黑体" w:eastAsia="黑体" w:cs="黑体"/>
          <w:sz w:val="32"/>
          <w:szCs w:val="32"/>
        </w:rPr>
        <w:t>技术规格/要求</w:t>
      </w:r>
      <w:r>
        <w:rPr>
          <w:rFonts w:hint="eastAsia" w:ascii="黑体" w:hAnsi="黑体" w:eastAsia="黑体" w:cs="黑体"/>
          <w:sz w:val="32"/>
          <w:szCs w:val="32"/>
          <w:lang w:val="en-US" w:eastAsia="zh-CN"/>
        </w:rPr>
        <w:t>响应情况</w:t>
      </w:r>
      <w:r>
        <w:rPr>
          <w:rFonts w:hint="eastAsia" w:ascii="黑体" w:hAnsi="黑体" w:eastAsia="黑体" w:cs="黑体"/>
          <w:sz w:val="32"/>
          <w:szCs w:val="32"/>
        </w:rPr>
        <w:t>表</w:t>
      </w:r>
    </w:p>
    <w:p>
      <w:pPr>
        <w:pStyle w:val="3"/>
        <w:rPr>
          <w:rFonts w:ascii="Times New Roman" w:hAnsi="Times New Roman"/>
          <w:b/>
        </w:rPr>
      </w:pPr>
    </w:p>
    <w:tbl>
      <w:tblPr>
        <w:tblStyle w:val="6"/>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6837"/>
        <w:gridCol w:w="1380"/>
        <w:gridCol w:w="1041"/>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rPr>
                <w:b/>
              </w:rPr>
            </w:pPr>
            <w:r>
              <w:rPr>
                <w:rFonts w:hint="eastAsia"/>
                <w:b/>
              </w:rPr>
              <w:t>序号</w:t>
            </w:r>
          </w:p>
        </w:tc>
        <w:tc>
          <w:tcPr>
            <w:tcW w:w="3140" w:type="pct"/>
            <w:noWrap w:val="0"/>
            <w:vAlign w:val="top"/>
          </w:tcPr>
          <w:p>
            <w:pPr>
              <w:jc w:val="center"/>
              <w:rPr>
                <w:b/>
              </w:rPr>
            </w:pPr>
            <w:r>
              <w:rPr>
                <w:rFonts w:hint="eastAsia"/>
                <w:b/>
              </w:rPr>
              <w:t>招标规格/要求</w:t>
            </w:r>
          </w:p>
        </w:tc>
        <w:tc>
          <w:tcPr>
            <w:tcW w:w="634" w:type="pct"/>
            <w:noWrap w:val="0"/>
            <w:vAlign w:val="top"/>
          </w:tcPr>
          <w:p>
            <w:pPr>
              <w:jc w:val="center"/>
              <w:rPr>
                <w:b/>
              </w:rPr>
            </w:pPr>
            <w:r>
              <w:rPr>
                <w:rFonts w:hint="eastAsia"/>
                <w:b/>
              </w:rPr>
              <w:t>投标响应的实际情况</w:t>
            </w:r>
          </w:p>
        </w:tc>
        <w:tc>
          <w:tcPr>
            <w:tcW w:w="478" w:type="pct"/>
            <w:noWrap w:val="0"/>
            <w:vAlign w:val="top"/>
          </w:tcPr>
          <w:p>
            <w:pPr>
              <w:jc w:val="center"/>
              <w:rPr>
                <w:b/>
              </w:rPr>
            </w:pPr>
            <w:r>
              <w:rPr>
                <w:rFonts w:hint="eastAsia"/>
                <w:b/>
              </w:rPr>
              <w:t>偏离简述</w:t>
            </w:r>
          </w:p>
        </w:tc>
        <w:tc>
          <w:tcPr>
            <w:tcW w:w="405" w:type="pct"/>
            <w:noWrap w:val="0"/>
            <w:vAlign w:val="top"/>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1</w:t>
            </w:r>
          </w:p>
        </w:tc>
        <w:tc>
          <w:tcPr>
            <w:tcW w:w="3140" w:type="pct"/>
            <w:noWrap w:val="0"/>
            <w:vAlign w:val="top"/>
          </w:tcPr>
          <w:p>
            <w:pPr>
              <w:jc w:val="left"/>
              <w:rPr>
                <w:rFonts w:hint="eastAsia"/>
                <w:lang w:eastAsia="zh-CN"/>
              </w:rPr>
            </w:pPr>
            <w:r>
              <w:rPr>
                <w:rFonts w:hint="eastAsia"/>
              </w:rPr>
              <w:t>工期要求</w:t>
            </w:r>
            <w:r>
              <w:rPr>
                <w:rFonts w:hint="eastAsia"/>
                <w:lang w:eastAsia="zh-CN"/>
              </w:rPr>
              <w:t>：</w:t>
            </w:r>
          </w:p>
          <w:p>
            <w:pPr>
              <w:jc w:val="left"/>
              <w:rPr>
                <w:rFonts w:hint="eastAsia" w:eastAsia="宋体"/>
                <w:lang w:eastAsia="zh-CN"/>
              </w:rPr>
            </w:pPr>
            <w:r>
              <w:rPr>
                <w:rFonts w:hint="eastAsia" w:eastAsia="宋体"/>
                <w:lang w:eastAsia="zh-CN"/>
              </w:rPr>
              <w:t>合同签订后90天内完成供货、安装、调试、交付使用。</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2</w:t>
            </w:r>
          </w:p>
        </w:tc>
        <w:tc>
          <w:tcPr>
            <w:tcW w:w="3140" w:type="pct"/>
            <w:noWrap w:val="0"/>
            <w:vAlign w:val="top"/>
          </w:tcPr>
          <w:p>
            <w:pPr>
              <w:jc w:val="left"/>
              <w:rPr>
                <w:rFonts w:hint="eastAsia"/>
                <w:lang w:val="en-US" w:eastAsia="zh-CN"/>
              </w:rPr>
            </w:pPr>
            <w:r>
              <w:rPr>
                <w:rFonts w:hint="eastAsia"/>
                <w:lang w:val="en-US" w:eastAsia="zh-CN"/>
              </w:rPr>
              <w:t>付款方式：</w:t>
            </w:r>
          </w:p>
          <w:p>
            <w:pPr>
              <w:jc w:val="left"/>
              <w:rPr>
                <w:rFonts w:hint="default" w:eastAsia="宋体"/>
                <w:lang w:val="en-US" w:eastAsia="zh-CN"/>
              </w:rPr>
            </w:pPr>
            <w:r>
              <w:rPr>
                <w:rFonts w:hint="default" w:eastAsia="宋体"/>
                <w:lang w:val="en-US" w:eastAsia="zh-CN"/>
              </w:rPr>
              <w:t>1.乙方在签订合同后10个工作日内，向采购人交纳合同总价的3%作为履约保证金，并提交首期款的请款申请文件和增值税专用发票，甲方在10个工作日内支付合同总价的40%作为备货款。</w:t>
            </w:r>
          </w:p>
          <w:p>
            <w:pPr>
              <w:jc w:val="left"/>
              <w:rPr>
                <w:rFonts w:hint="default" w:eastAsia="宋体"/>
                <w:lang w:val="en-US" w:eastAsia="zh-CN"/>
              </w:rPr>
            </w:pPr>
            <w:r>
              <w:rPr>
                <w:rFonts w:hint="default" w:eastAsia="宋体"/>
                <w:lang w:val="en-US" w:eastAsia="zh-CN"/>
              </w:rPr>
              <w:t>2.货物全部到达施工现场，并经甲方确认后，乙方提交请款申请文件和增值税专用发票，甲方确认后支付合同总价的30%。</w:t>
            </w:r>
          </w:p>
          <w:p>
            <w:pPr>
              <w:jc w:val="left"/>
              <w:rPr>
                <w:rFonts w:hint="default" w:eastAsia="宋体"/>
                <w:lang w:val="en-US" w:eastAsia="zh-CN"/>
              </w:rPr>
            </w:pPr>
            <w:r>
              <w:rPr>
                <w:rFonts w:hint="default" w:eastAsia="宋体"/>
                <w:lang w:val="en-US" w:eastAsia="zh-CN"/>
              </w:rPr>
              <w:t>3.项目竣工验收合格后，项目结算经甲方审核确定后，乙方递交完整的工程施工及验收资料，乙方提交请款申请文件和增值税专用发票，甲方支付工程结算核定金额的尾款。同时，乙方交纳的履约保证金自动转为质保金。</w:t>
            </w:r>
          </w:p>
          <w:p>
            <w:pPr>
              <w:jc w:val="left"/>
              <w:rPr>
                <w:rFonts w:hint="default" w:eastAsia="宋体"/>
                <w:lang w:val="en-US" w:eastAsia="zh-CN"/>
              </w:rPr>
            </w:pPr>
            <w:r>
              <w:rPr>
                <w:rFonts w:hint="default" w:eastAsia="宋体"/>
                <w:lang w:val="en-US" w:eastAsia="zh-CN"/>
              </w:rPr>
              <w:t>4.在项目质保期（项目验收起1年）满后，如质保期内无解决事项或无扣减项，甲方在10个工作日内将质保金一次性付清给乙方（不计利息）。</w:t>
            </w:r>
          </w:p>
          <w:p>
            <w:pPr>
              <w:jc w:val="left"/>
              <w:rPr>
                <w:rFonts w:hint="default" w:eastAsia="宋体"/>
                <w:lang w:val="en-US" w:eastAsia="zh-CN"/>
              </w:rPr>
            </w:pPr>
            <w:r>
              <w:rPr>
                <w:rFonts w:hint="default" w:eastAsia="宋体"/>
                <w:lang w:val="en-US" w:eastAsia="zh-CN"/>
              </w:rPr>
              <w:t>5.采购人每次付款前，成交供应商应提供正规等额增值税专用发票给采购人，如国家税率有调整，按照国家最新增值税税率政策同步执行。</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342" w:type="pct"/>
            <w:noWrap w:val="0"/>
            <w:vAlign w:val="top"/>
          </w:tcPr>
          <w:p>
            <w:pPr>
              <w:jc w:val="center"/>
            </w:pPr>
            <w:r>
              <w:rPr>
                <w:rFonts w:hint="eastAsia"/>
              </w:rPr>
              <w:t>3</w:t>
            </w:r>
          </w:p>
        </w:tc>
        <w:tc>
          <w:tcPr>
            <w:tcW w:w="3140" w:type="pct"/>
            <w:noWrap w:val="0"/>
            <w:vAlign w:val="top"/>
          </w:tcPr>
          <w:p>
            <w:pPr>
              <w:jc w:val="left"/>
              <w:rPr>
                <w:rFonts w:hint="eastAsia"/>
                <w:lang w:val="en-US" w:eastAsia="zh-CN"/>
              </w:rPr>
            </w:pPr>
            <w:r>
              <w:rPr>
                <w:rFonts w:hint="eastAsia"/>
                <w:lang w:val="en-US" w:eastAsia="zh-CN"/>
              </w:rPr>
              <w:t>服务内容：</w:t>
            </w:r>
          </w:p>
          <w:p>
            <w:pPr>
              <w:jc w:val="left"/>
              <w:rPr>
                <w:rFonts w:hint="eastAsia" w:eastAsia="宋体"/>
                <w:lang w:val="en-US" w:eastAsia="zh-CN"/>
              </w:rPr>
            </w:pPr>
            <w:r>
              <w:rPr>
                <w:rFonts w:hint="eastAsia" w:eastAsia="宋体"/>
                <w:lang w:val="en-US" w:eastAsia="zh-CN"/>
              </w:rPr>
              <w:t>1.完成货物设备采购清单项目的全部费用，包括货物、设备、设施及配件、辅材的购置和制作安装、运输、装卸、安装机械、垃圾外运及其他措施费、调试、试运行、保修及售后服务、保险、方案深化设计费、税金、合同实施过程中应预见和不可预见等一切费用。采用材料不低于我校现已建设设备水平。</w:t>
            </w:r>
          </w:p>
          <w:p>
            <w:pPr>
              <w:jc w:val="left"/>
              <w:rPr>
                <w:rFonts w:hint="default" w:eastAsia="宋体"/>
                <w:lang w:val="en-US" w:eastAsia="zh-CN"/>
              </w:rPr>
            </w:pPr>
            <w:r>
              <w:rPr>
                <w:rFonts w:hint="eastAsia" w:eastAsia="宋体"/>
                <w:lang w:val="en-US" w:eastAsia="zh-CN"/>
              </w:rPr>
              <w:t>2.为保证本项目系统的完整性，以上清单中未列出的附件及相关辅助材料、设备将由投标人深化设计完成，并在投标报价中综合考虑，采购人不再为此支付任何费用。（具体内容见需求书）</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4</w:t>
            </w:r>
          </w:p>
        </w:tc>
        <w:tc>
          <w:tcPr>
            <w:tcW w:w="3140" w:type="pct"/>
            <w:noWrap w:val="0"/>
            <w:vAlign w:val="top"/>
          </w:tcPr>
          <w:p>
            <w:pPr>
              <w:pStyle w:val="2"/>
              <w:rPr>
                <w:rFonts w:hint="eastAsia"/>
                <w:lang w:val="en-US" w:eastAsia="zh-CN"/>
              </w:rPr>
            </w:pPr>
            <w:r>
              <w:rPr>
                <w:rFonts w:hint="default"/>
                <w:lang w:val="en-US" w:eastAsia="zh-CN"/>
              </w:rPr>
              <w:t>验收</w:t>
            </w:r>
            <w:r>
              <w:rPr>
                <w:rFonts w:hint="eastAsia"/>
                <w:lang w:val="en-US" w:eastAsia="zh-CN"/>
              </w:rPr>
              <w:t>要求：</w:t>
            </w:r>
          </w:p>
          <w:p>
            <w:pPr>
              <w:pStyle w:val="2"/>
              <w:rPr>
                <w:rFonts w:hint="default"/>
                <w:lang w:val="en-US" w:eastAsia="zh-CN"/>
              </w:rPr>
            </w:pPr>
            <w:r>
              <w:rPr>
                <w:rFonts w:hint="eastAsia"/>
                <w:lang w:val="en-US" w:eastAsia="zh-CN"/>
              </w:rPr>
              <w:t>验收</w:t>
            </w:r>
            <w:r>
              <w:rPr>
                <w:rFonts w:hint="default"/>
                <w:lang w:val="en-US" w:eastAsia="zh-CN"/>
              </w:rPr>
              <w:t>时中标人需提供项目实际完工图纸，包含但不限于设备安装平面图、线路布置图、线路系统图、设备清单（包括名称、规格型号、产地、单价等）、系统的全部有关产品说明书、原厂家安装手册、技术文件、资料、及安装、验收报告等文档汇集成册，一式四份（其中原件一份、复印件三份）交由使用单位存档。</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5</w:t>
            </w:r>
          </w:p>
        </w:tc>
        <w:tc>
          <w:tcPr>
            <w:tcW w:w="3140" w:type="pct"/>
            <w:noWrap w:val="0"/>
            <w:vAlign w:val="top"/>
          </w:tcPr>
          <w:p>
            <w:pPr>
              <w:jc w:val="left"/>
              <w:rPr>
                <w:rFonts w:hint="eastAsia"/>
                <w:lang w:eastAsia="zh-CN"/>
              </w:rPr>
            </w:pPr>
            <w:r>
              <w:rPr>
                <w:rFonts w:hint="eastAsia"/>
                <w:lang w:eastAsia="zh-CN"/>
              </w:rPr>
              <w:t>售后服务及质量保证：</w:t>
            </w:r>
          </w:p>
          <w:p>
            <w:pPr>
              <w:pStyle w:val="2"/>
              <w:rPr>
                <w:rFonts w:hint="default"/>
                <w:lang w:val="en-US"/>
              </w:rPr>
            </w:pPr>
            <w:r>
              <w:rPr>
                <w:rFonts w:hint="default"/>
                <w:lang w:val="en-US"/>
              </w:rPr>
              <w:t>1.安装调试与人员培训,中标人应及时安装调试设备，安装调试期间采购人的使用人员协助配合；安装调试完毕，中标人需组织采购人使用人员进行使用及日常维护等的培训。</w:t>
            </w:r>
          </w:p>
          <w:p>
            <w:pPr>
              <w:pStyle w:val="2"/>
              <w:rPr>
                <w:rFonts w:hint="default"/>
                <w:lang w:val="en-US"/>
              </w:rPr>
            </w:pPr>
            <w:r>
              <w:rPr>
                <w:rFonts w:hint="default"/>
                <w:lang w:val="en-US"/>
              </w:rPr>
              <w:t>2.提供1年质保期，并顺延3年免费维保期。质保期和免费维保期内从采购人签订验收合格报告之日开始计算，免费质保期内供货方负责所有因设备质量问题而产生的费用，所有服务免费。</w:t>
            </w:r>
          </w:p>
          <w:p>
            <w:pPr>
              <w:pStyle w:val="2"/>
              <w:rPr>
                <w:rFonts w:hint="default"/>
                <w:lang w:val="en-US"/>
              </w:rPr>
            </w:pPr>
            <w:r>
              <w:rPr>
                <w:rFonts w:hint="default"/>
                <w:lang w:val="en-US"/>
              </w:rPr>
              <w:t>3.中标人应指派专人负责与采购人联系售后服务事宜。无论设备因何种原因发生何种故障，中标人在接到维修通知后，须在2小时内响应，8小时内到达现场，24小时解决问题，若48小时内无法解决问题，则中标人应提供不低于同档次的产品供采购人使用。无法解决问题，则中标人应给采购人更换不低于同档次的新产品。</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rPr>
                <w:rFonts w:hint="eastAsia"/>
              </w:rPr>
              <w:t>6</w:t>
            </w:r>
          </w:p>
        </w:tc>
        <w:tc>
          <w:tcPr>
            <w:tcW w:w="3140" w:type="pct"/>
            <w:noWrap w:val="0"/>
            <w:vAlign w:val="top"/>
          </w:tcPr>
          <w:p>
            <w:pPr>
              <w:jc w:val="left"/>
              <w:rPr>
                <w:rFonts w:hint="eastAsia" w:eastAsia="宋体"/>
                <w:lang w:eastAsia="zh-CN"/>
              </w:rPr>
            </w:pPr>
            <w:r>
              <w:rPr>
                <w:rFonts w:hint="eastAsia"/>
                <w:lang w:val="en-US" w:eastAsia="zh-CN"/>
              </w:rPr>
              <w:t>产品品牌</w:t>
            </w:r>
            <w:r>
              <w:rPr>
                <w:rFonts w:hint="eastAsia"/>
                <w:lang w:eastAsia="zh-CN"/>
              </w:rPr>
              <w:t>要求：</w:t>
            </w:r>
          </w:p>
          <w:p>
            <w:pPr>
              <w:jc w:val="left"/>
              <w:rPr>
                <w:rFonts w:hint="eastAsia" w:eastAsia="宋体"/>
                <w:lang w:eastAsia="zh-CN"/>
              </w:rPr>
            </w:pPr>
            <w:r>
              <w:rPr>
                <w:rFonts w:hint="eastAsia" w:eastAsia="宋体"/>
                <w:lang w:val="en-US" w:eastAsia="zh-CN"/>
              </w:rPr>
              <w:t>1.</w:t>
            </w:r>
            <w:r>
              <w:rPr>
                <w:rFonts w:hint="eastAsia" w:eastAsia="宋体"/>
                <w:lang w:eastAsia="zh-CN"/>
              </w:rPr>
              <w:t>为保证设备的稳定性和兼容性，要求关键产品（网络高清红外枪机、网络磁盘阵列等）必须为同一品牌的产品。</w:t>
            </w:r>
            <w:r>
              <w:rPr>
                <w:rFonts w:hint="eastAsia" w:eastAsia="宋体"/>
                <w:lang w:val="en-US" w:eastAsia="zh-CN"/>
              </w:rPr>
              <w:t>（具体内容见需求书）</w:t>
            </w:r>
          </w:p>
          <w:p>
            <w:pPr>
              <w:jc w:val="left"/>
              <w:rPr>
                <w:rFonts w:hint="eastAsia" w:eastAsia="宋体"/>
                <w:lang w:eastAsia="zh-CN"/>
              </w:rPr>
            </w:pPr>
            <w:r>
              <w:rPr>
                <w:rFonts w:hint="eastAsia" w:eastAsia="宋体"/>
                <w:lang w:val="en-US" w:eastAsia="zh-CN"/>
              </w:rPr>
              <w:t>2</w:t>
            </w:r>
            <w:r>
              <w:rPr>
                <w:rFonts w:hint="eastAsia" w:eastAsia="宋体"/>
                <w:lang w:eastAsia="zh-CN"/>
              </w:rPr>
              <w:t>.为保证网络设备的稳定性和兼容性，要求交换机产品（包括24口汇聚交换机、24口POE接入层交换机、16口POE接入层交换机、5口POE接入层交换机）必须为同一品牌的产品。</w:t>
            </w:r>
            <w:r>
              <w:rPr>
                <w:rFonts w:hint="eastAsia" w:eastAsia="宋体"/>
                <w:lang w:val="en-US" w:eastAsia="zh-CN"/>
              </w:rPr>
              <w:t>（具体内容见需求书）</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rPr>
                <w:rFonts w:hint="eastAsia" w:eastAsiaTheme="minorEastAsia"/>
                <w:lang w:val="en-US" w:eastAsia="zh-CN"/>
              </w:rPr>
            </w:pPr>
            <w:r>
              <w:rPr>
                <w:rFonts w:hint="eastAsia"/>
                <w:lang w:val="en-US" w:eastAsia="zh-CN"/>
              </w:rPr>
              <w:t>7</w:t>
            </w:r>
          </w:p>
        </w:tc>
        <w:tc>
          <w:tcPr>
            <w:tcW w:w="3140" w:type="pct"/>
            <w:noWrap w:val="0"/>
            <w:vAlign w:val="top"/>
          </w:tcPr>
          <w:p>
            <w:pPr>
              <w:jc w:val="left"/>
              <w:rPr>
                <w:rFonts w:hint="eastAsia"/>
                <w:lang w:val="en-US" w:eastAsia="zh-CN"/>
              </w:rPr>
            </w:pPr>
            <w:r>
              <w:rPr>
                <w:rFonts w:hint="default"/>
                <w:lang w:val="en-US" w:eastAsia="zh-CN"/>
              </w:rPr>
              <w:t>方案优化</w:t>
            </w:r>
            <w:r>
              <w:rPr>
                <w:rFonts w:hint="eastAsia"/>
                <w:lang w:val="en-US" w:eastAsia="zh-CN"/>
              </w:rPr>
              <w:t>：</w:t>
            </w:r>
          </w:p>
          <w:p>
            <w:pPr>
              <w:jc w:val="left"/>
              <w:rPr>
                <w:rFonts w:hint="default"/>
                <w:lang w:val="en-US" w:eastAsia="zh-CN"/>
              </w:rPr>
            </w:pPr>
            <w:r>
              <w:rPr>
                <w:rFonts w:hint="default"/>
                <w:lang w:val="en-US" w:eastAsia="zh-CN"/>
              </w:rPr>
              <w:t>投标单位投标时需对本建设方案进行优化并提供优化后的建设方案。项目实施前，投标单位必须对投标建设方案进行具体化，并提供实施方案的施工图纸，在采购单位审核同意后方予实施。</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rPr>
                <w:rFonts w:hint="eastAsia" w:eastAsiaTheme="minorEastAsia"/>
                <w:lang w:val="en-US" w:eastAsia="zh-CN"/>
              </w:rPr>
            </w:pPr>
            <w:r>
              <w:rPr>
                <w:rFonts w:hint="eastAsia"/>
                <w:lang w:val="en-US" w:eastAsia="zh-CN"/>
              </w:rPr>
              <w:t>8</w:t>
            </w:r>
          </w:p>
        </w:tc>
        <w:tc>
          <w:tcPr>
            <w:tcW w:w="3140" w:type="pct"/>
            <w:noWrap w:val="0"/>
            <w:vAlign w:val="top"/>
          </w:tcPr>
          <w:p>
            <w:pPr>
              <w:jc w:val="left"/>
              <w:rPr>
                <w:rFonts w:hint="eastAsia"/>
                <w:lang w:eastAsia="zh-CN"/>
              </w:rPr>
            </w:pPr>
            <w:r>
              <w:rPr>
                <w:rFonts w:hint="eastAsia"/>
              </w:rPr>
              <w:t>无效投标</w:t>
            </w:r>
            <w:r>
              <w:rPr>
                <w:rFonts w:hint="eastAsia"/>
                <w:lang w:val="en-US" w:eastAsia="zh-CN"/>
              </w:rPr>
              <w:t>的情况</w:t>
            </w:r>
            <w:bookmarkStart w:id="0" w:name="_GoBack"/>
            <w:bookmarkEnd w:id="0"/>
            <w:r>
              <w:rPr>
                <w:rFonts w:hint="eastAsia"/>
                <w:lang w:eastAsia="zh-CN"/>
              </w:rPr>
              <w:t>：</w:t>
            </w:r>
          </w:p>
          <w:p>
            <w:pPr>
              <w:jc w:val="left"/>
            </w:pPr>
            <w:r>
              <w:rPr>
                <w:rFonts w:hint="eastAsia"/>
              </w:rPr>
              <w:t>评标委员会认为投标人的报价明显低于其他通过符合性审查投标人的报价，有可能影响产品质量或者不能诚信履约的，可要求投标人提供书面说明（报价成本分析报告），投标人需在接到评标委员会通知后一小时内提供详细的报价成本分析报告（包含各项进货成本、开发设计成本明细、项目实施成本、税费、利润、安装成本等等的详细说明）及相关佐证材料。如未能及时提供报价成本分析报告或评审委员会认为其报价成本分析报告不合理的，评标委员会将对其作为无效投标处理。</w:t>
            </w: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top"/>
          </w:tcPr>
          <w:p>
            <w:pPr>
              <w:jc w:val="center"/>
            </w:pPr>
            <w:r>
              <w:t>…</w:t>
            </w:r>
          </w:p>
        </w:tc>
        <w:tc>
          <w:tcPr>
            <w:tcW w:w="3140" w:type="pct"/>
            <w:noWrap w:val="0"/>
            <w:vAlign w:val="top"/>
          </w:tcPr>
          <w:p>
            <w:pPr>
              <w:jc w:val="left"/>
            </w:pPr>
          </w:p>
        </w:tc>
        <w:tc>
          <w:tcPr>
            <w:tcW w:w="634" w:type="pct"/>
            <w:noWrap w:val="0"/>
            <w:vAlign w:val="top"/>
          </w:tcPr>
          <w:p>
            <w:pPr>
              <w:jc w:val="left"/>
            </w:pPr>
          </w:p>
        </w:tc>
        <w:tc>
          <w:tcPr>
            <w:tcW w:w="478" w:type="pct"/>
            <w:noWrap w:val="0"/>
            <w:vAlign w:val="top"/>
          </w:tcPr>
          <w:p>
            <w:pPr>
              <w:jc w:val="left"/>
            </w:pPr>
          </w:p>
        </w:tc>
        <w:tc>
          <w:tcPr>
            <w:tcW w:w="405" w:type="pct"/>
            <w:noWrap w:val="0"/>
            <w:vAlign w:val="top"/>
          </w:tcPr>
          <w:p>
            <w:pPr>
              <w:jc w:val="left"/>
            </w:pPr>
          </w:p>
        </w:tc>
      </w:tr>
    </w:tbl>
    <w:p>
      <w:pPr>
        <w:rPr>
          <w:rFonts w:hint="eastAsia"/>
        </w:rPr>
      </w:pPr>
    </w:p>
    <w:sectPr>
      <w:footerReference r:id="rId5" w:type="default"/>
      <w:pgSz w:w="11906" w:h="16838"/>
      <w:pgMar w:top="720" w:right="720" w:bottom="720" w:left="72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评标专家：               联系电话：                  日期：    年      月     日</w:t>
    </w:r>
  </w:p>
  <w:p>
    <w:pPr>
      <w:pStyle w:val="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70"/>
    <w:rsid w:val="0012737C"/>
    <w:rsid w:val="00375B70"/>
    <w:rsid w:val="005856FD"/>
    <w:rsid w:val="0083616B"/>
    <w:rsid w:val="009D6226"/>
    <w:rsid w:val="00A13480"/>
    <w:rsid w:val="00AA1E36"/>
    <w:rsid w:val="00B0029A"/>
    <w:rsid w:val="00C01272"/>
    <w:rsid w:val="00D36112"/>
    <w:rsid w:val="00EC505D"/>
    <w:rsid w:val="00EE3404"/>
    <w:rsid w:val="01CA006F"/>
    <w:rsid w:val="02C83B66"/>
    <w:rsid w:val="02D7158C"/>
    <w:rsid w:val="02FD3E39"/>
    <w:rsid w:val="05480D9C"/>
    <w:rsid w:val="055006AA"/>
    <w:rsid w:val="05C1088C"/>
    <w:rsid w:val="05D854B4"/>
    <w:rsid w:val="069E0CB9"/>
    <w:rsid w:val="086A3DB2"/>
    <w:rsid w:val="09276631"/>
    <w:rsid w:val="0CBA302E"/>
    <w:rsid w:val="0E78327F"/>
    <w:rsid w:val="11000239"/>
    <w:rsid w:val="13BC5091"/>
    <w:rsid w:val="13E511BF"/>
    <w:rsid w:val="145947EB"/>
    <w:rsid w:val="14BE6C73"/>
    <w:rsid w:val="16A54C96"/>
    <w:rsid w:val="17DB5243"/>
    <w:rsid w:val="17EC1462"/>
    <w:rsid w:val="19F422F7"/>
    <w:rsid w:val="1BE142FB"/>
    <w:rsid w:val="21193BC2"/>
    <w:rsid w:val="25B35135"/>
    <w:rsid w:val="262E2742"/>
    <w:rsid w:val="27D55D2F"/>
    <w:rsid w:val="29F04490"/>
    <w:rsid w:val="2AE33829"/>
    <w:rsid w:val="2C080963"/>
    <w:rsid w:val="2D2C308C"/>
    <w:rsid w:val="2F750992"/>
    <w:rsid w:val="2FEB79A2"/>
    <w:rsid w:val="32057012"/>
    <w:rsid w:val="32301CA4"/>
    <w:rsid w:val="35E02E31"/>
    <w:rsid w:val="35E60482"/>
    <w:rsid w:val="371F1E4B"/>
    <w:rsid w:val="38136EE6"/>
    <w:rsid w:val="3A491676"/>
    <w:rsid w:val="3BD258B2"/>
    <w:rsid w:val="3BFA7DE8"/>
    <w:rsid w:val="3C8049FB"/>
    <w:rsid w:val="3D8F1097"/>
    <w:rsid w:val="3E856F8B"/>
    <w:rsid w:val="3F74529B"/>
    <w:rsid w:val="3F831793"/>
    <w:rsid w:val="41AA7FCE"/>
    <w:rsid w:val="41CF52D3"/>
    <w:rsid w:val="42F11A96"/>
    <w:rsid w:val="432C6E7D"/>
    <w:rsid w:val="480778B4"/>
    <w:rsid w:val="497808FE"/>
    <w:rsid w:val="4A257ED7"/>
    <w:rsid w:val="4A951C4F"/>
    <w:rsid w:val="4B932491"/>
    <w:rsid w:val="4BFA1D48"/>
    <w:rsid w:val="4CFE3A9E"/>
    <w:rsid w:val="4D386965"/>
    <w:rsid w:val="4E001B55"/>
    <w:rsid w:val="4F2267D2"/>
    <w:rsid w:val="51FC224D"/>
    <w:rsid w:val="56020153"/>
    <w:rsid w:val="57033B80"/>
    <w:rsid w:val="576117E1"/>
    <w:rsid w:val="578A29F1"/>
    <w:rsid w:val="57A10704"/>
    <w:rsid w:val="57E572FB"/>
    <w:rsid w:val="583A6874"/>
    <w:rsid w:val="595870CA"/>
    <w:rsid w:val="59B8104C"/>
    <w:rsid w:val="5A946FE7"/>
    <w:rsid w:val="5B5F7059"/>
    <w:rsid w:val="5D58739D"/>
    <w:rsid w:val="5FCF4775"/>
    <w:rsid w:val="601C0DBD"/>
    <w:rsid w:val="60887792"/>
    <w:rsid w:val="62500C08"/>
    <w:rsid w:val="625248D2"/>
    <w:rsid w:val="64504C7B"/>
    <w:rsid w:val="66FC2254"/>
    <w:rsid w:val="678A4606"/>
    <w:rsid w:val="680006DD"/>
    <w:rsid w:val="68391C49"/>
    <w:rsid w:val="684E4008"/>
    <w:rsid w:val="73453743"/>
    <w:rsid w:val="74E76473"/>
    <w:rsid w:val="762A04F8"/>
    <w:rsid w:val="77050554"/>
    <w:rsid w:val="77B04CEA"/>
    <w:rsid w:val="7878657D"/>
    <w:rsid w:val="7A1D7CD5"/>
    <w:rsid w:val="7F4907CF"/>
    <w:rsid w:val="7F73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heme="minorAscii" w:hAnsiTheme="minorAsci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3">
    <w:name w:val="Plain Text"/>
    <w:basedOn w:val="1"/>
    <w:qFormat/>
    <w:uiPriority w:val="0"/>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p16"/>
    <w:basedOn w:val="1"/>
    <w:qFormat/>
    <w:uiPriority w:val="0"/>
    <w:pPr>
      <w:spacing w:after="120" w:line="360" w:lineRule="auto"/>
    </w:pPr>
    <w:rPr>
      <w:rFonts w:ascii="Times New Roman" w:hAnsi="Times New Roman" w:eastAsia="宋体" w:cs="Times New Roman"/>
      <w:szCs w:val="20"/>
    </w:rPr>
  </w:style>
  <w:style w:type="paragraph" w:customStyle="1" w:styleId="1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
    <w:name w:val="NormalCharacter"/>
    <w:qFormat/>
    <w:uiPriority w:val="0"/>
    <w:rPr>
      <w:rFonts w:ascii="Times New Roman" w:hAnsi="Times New Roman" w:eastAsia="宋体" w:cs="Times New Roman"/>
      <w:kern w:val="2"/>
      <w:sz w:val="21"/>
      <w:szCs w:val="24"/>
      <w:lang w:val="en-US" w:eastAsia="zh-CN" w:bidi="ar-SA"/>
    </w:rPr>
  </w:style>
  <w:style w:type="paragraph" w:customStyle="1" w:styleId="14">
    <w:name w:val="mybody"/>
    <w:basedOn w:val="1"/>
    <w:qFormat/>
    <w:uiPriority w:val="0"/>
    <w:pPr>
      <w:spacing w:beforeLines="100" w:afterLines="100" w:line="288" w:lineRule="auto"/>
      <w:ind w:firstLine="200" w:firstLineChars="200"/>
    </w:pPr>
    <w:rPr>
      <w:color w:val="000000" w:themeColor="text1"/>
      <w:sz w:val="28"/>
      <w14:textFill>
        <w14:solidFill>
          <w14:schemeClr w14:val="tx1"/>
        </w14:solidFill>
      </w14:textFill>
    </w:rPr>
  </w:style>
  <w:style w:type="paragraph" w:customStyle="1" w:styleId="15">
    <w:name w:val="mylist"/>
    <w:basedOn w:val="1"/>
    <w:qFormat/>
    <w:uiPriority w:val="0"/>
    <w:pPr>
      <w:spacing w:beforeLines="50" w:afterLines="50"/>
      <w:ind w:firstLine="200" w:firstLineChars="200"/>
      <w:outlineLvl w:val="1"/>
    </w:pPr>
    <w:rPr>
      <w:b/>
      <w:sz w:val="2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285</Words>
  <Characters>1628</Characters>
  <Lines>13</Lines>
  <Paragraphs>3</Paragraphs>
  <TotalTime>0</TotalTime>
  <ScaleCrop>false</ScaleCrop>
  <LinksUpToDate>false</LinksUpToDate>
  <CharactersWithSpaces>1910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2019-08-20T10:25:00Z</dcterms:created>
  <dc:creator>刘丽</dc:creator>
  <cp:lastModifiedBy>Pc</cp:lastModifiedBy>
  <cp:lastPrinted>2021-05-12T08:04:00Z</cp:lastPrinted>
  <dcterms:modified xsi:type="dcterms:W3CDTF">2021-06-11T02:51:25Z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B0FD7C98C63C490C92FD4B07B2A507C4</vt:lpwstr>
  </property>
</Properties>
</file>