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468" w:afterLines="150" w:line="360" w:lineRule="auto"/>
        <w:jc w:val="center"/>
        <w:rPr>
          <w:rFonts w:ascii="微软雅黑" w:hAnsi="微软雅黑" w:eastAsia="微软雅黑"/>
          <w:sz w:val="36"/>
          <w:szCs w:val="36"/>
        </w:rPr>
      </w:pPr>
      <w:r>
        <w:rPr>
          <w:rFonts w:hint="eastAsia" w:ascii="微软雅黑" w:hAnsi="微软雅黑" w:eastAsia="微软雅黑"/>
          <w:sz w:val="36"/>
          <w:szCs w:val="36"/>
        </w:rPr>
        <w:t>《中药制药专业》建设规划</w:t>
      </w:r>
    </w:p>
    <w:p>
      <w:pPr>
        <w:spacing w:before="312" w:beforeLines="100" w:line="360" w:lineRule="auto"/>
        <w:ind w:firstLine="480" w:firstLineChars="200"/>
        <w:rPr>
          <w:rFonts w:ascii="宋体" w:hAnsi="宋体" w:eastAsia="宋体"/>
          <w:sz w:val="24"/>
          <w:szCs w:val="24"/>
        </w:rPr>
      </w:pPr>
      <w:r>
        <w:rPr>
          <w:rFonts w:hint="eastAsia" w:ascii="宋体" w:hAnsi="宋体" w:eastAsia="宋体"/>
          <w:sz w:val="24"/>
          <w:szCs w:val="24"/>
        </w:rPr>
        <w:t>201</w:t>
      </w:r>
      <w:r>
        <w:rPr>
          <w:rFonts w:ascii="宋体" w:hAnsi="宋体" w:eastAsia="宋体"/>
          <w:sz w:val="24"/>
          <w:szCs w:val="24"/>
        </w:rPr>
        <w:t>6</w:t>
      </w:r>
      <w:r>
        <w:rPr>
          <w:rFonts w:hint="eastAsia" w:ascii="宋体" w:hAnsi="宋体" w:eastAsia="宋体"/>
          <w:sz w:val="24"/>
          <w:szCs w:val="24"/>
        </w:rPr>
        <w:t>年，国务院印发《中医药发展战略纲要（2016-2030年）》，将中医药发展上升为国家战略，中医药管理部门不断完善政策措施，推进健康中国建设。2020年抗击疫情斗争中，中医药充分发挥特色优势，为疫情防控贡献了重要力量。2021年，在《中华人民共和国国民经济和社会发展第十四个五年规划和2035年远景目标纲要》中明确提出要推动中医药传承创新。坚持中西医并重和优势互补，大力发展中医药事业，为推动健康广东和中医药强市战略实施，大力培养适应我省经济社会发展、中医药强省建设和中医药产业发展需要的高素质应用人才。</w:t>
      </w:r>
    </w:p>
    <w:p>
      <w:pPr>
        <w:spacing w:line="360" w:lineRule="auto"/>
        <w:rPr>
          <w:rFonts w:ascii="微软雅黑" w:hAnsi="微软雅黑" w:eastAsia="微软雅黑"/>
          <w:b/>
          <w:bCs/>
          <w:sz w:val="28"/>
          <w:szCs w:val="28"/>
        </w:rPr>
      </w:pPr>
      <w:r>
        <w:rPr>
          <w:rFonts w:hint="eastAsia" w:ascii="微软雅黑" w:hAnsi="微软雅黑" w:eastAsia="微软雅黑"/>
          <w:b/>
          <w:bCs/>
          <w:sz w:val="28"/>
          <w:szCs w:val="28"/>
        </w:rPr>
        <w:t>一、专业建设基础</w:t>
      </w:r>
    </w:p>
    <w:p>
      <w:pPr>
        <w:spacing w:line="360" w:lineRule="auto"/>
        <w:ind w:firstLine="480" w:firstLineChars="200"/>
        <w:rPr>
          <w:rFonts w:ascii="宋体" w:hAnsi="宋体" w:eastAsia="宋体" w:cs="宋体"/>
          <w:kern w:val="0"/>
          <w:sz w:val="24"/>
          <w:lang w:bidi="zh-CN"/>
        </w:rPr>
      </w:pPr>
      <w:r>
        <w:rPr>
          <w:rFonts w:hint="eastAsia" w:ascii="宋体" w:hAnsi="宋体" w:eastAsia="宋体" w:cs="宋体"/>
          <w:kern w:val="0"/>
          <w:sz w:val="24"/>
          <w:lang w:bidi="zh-CN"/>
        </w:rPr>
        <w:t>广州南方学院是2006年经教育部批准，由中山大学与广东珠江投资股份有限公司合作创办的独立学院，是一所多学科全日制应用型本科高等学校，首批广东省普通本科转型试点高校。经过十余年的建设和发展，实现了千亩校园、万人规模、学科齐全、名师齐聚、人才辈出的办学目标。学校先后荣获广东民办教育突出贡献奖、中国社会影响力独立学院、中国最具办学特色独立学院等奖项；获评“中国六星级独立学院”、“中国顶尖独立学院”称号。学校设有10个院系</w:t>
      </w:r>
      <w:r>
        <w:rPr>
          <w:rFonts w:hint="eastAsia" w:ascii="宋体" w:hAnsi="宋体" w:eastAsia="宋体" w:cs="宋体"/>
          <w:kern w:val="0"/>
          <w:sz w:val="24"/>
          <w:lang w:val="en-US" w:bidi="zh-CN"/>
        </w:rPr>
        <w:t>44</w:t>
      </w:r>
      <w:r>
        <w:rPr>
          <w:rFonts w:hint="eastAsia" w:ascii="宋体" w:hAnsi="宋体" w:eastAsia="宋体" w:cs="宋体"/>
          <w:kern w:val="0"/>
          <w:sz w:val="24"/>
          <w:lang w:bidi="zh-CN"/>
        </w:rPr>
        <w:t>个专业，工学、医学、艺术学多学科协调发展。其中“云康医学与健康管理学院”、“护理与健康学院”中设置医学检验技术、护理学专业，拟开设康复医学专业；同时拥有音乐学艺术类专业等</w:t>
      </w:r>
      <w:bookmarkStart w:id="3" w:name="_GoBack"/>
      <w:bookmarkEnd w:id="3"/>
      <w:r>
        <w:rPr>
          <w:rFonts w:hint="eastAsia" w:ascii="宋体" w:hAnsi="宋体" w:eastAsia="宋体" w:cs="宋体"/>
          <w:kern w:val="0"/>
          <w:sz w:val="24"/>
          <w:lang w:bidi="zh-CN"/>
        </w:rPr>
        <w:t>，为中医药学院开办提供支撑。</w:t>
      </w:r>
    </w:p>
    <w:p>
      <w:pPr>
        <w:spacing w:line="360" w:lineRule="auto"/>
        <w:ind w:firstLine="480" w:firstLineChars="200"/>
        <w:rPr>
          <w:rFonts w:ascii="宋体" w:hAnsi="宋体" w:eastAsia="宋体" w:cs="宋体"/>
          <w:kern w:val="0"/>
          <w:sz w:val="24"/>
          <w:lang w:bidi="zh-CN"/>
        </w:rPr>
      </w:pPr>
      <w:r>
        <w:rPr>
          <w:rFonts w:hint="eastAsia" w:ascii="宋体" w:hAnsi="宋体" w:eastAsia="宋体" w:cs="宋体"/>
          <w:kern w:val="0"/>
          <w:sz w:val="24"/>
          <w:lang w:bidi="zh-CN"/>
        </w:rPr>
        <w:t>本校位于从化，地理位置优越，为中药制药专业的增设提供学习基地。从化作为广州的后花园，基于区位优势发展自己的特色，积极推动“中华国医国药发展示范基地”项目创建工作，将建设集中医药文化、中医药服务、中医药交流、中医药科研、中医药孵化、中医药工业、中医药流通和中药材基地为一体的综合性、创新性、国家级的大型中医药产业聚集区。并将中医药文化遗产研究、华南中医药物流配送中心建设、中医药研发和生产基地建设等列入发展规划。创建中医药学院，培养大批具备中医药知识和技能的实用型人才，将进一步优化产业结构，促进第一二三产业协同发展，推进乡村振兴建设，为农村经济发展作贡献。同时也将进一步增强广州和港澳中医药服务水平，助推大湾区战略产业升级和发展，助力健康中国的建设。</w:t>
      </w:r>
    </w:p>
    <w:p>
      <w:pPr>
        <w:spacing w:line="360" w:lineRule="auto"/>
        <w:ind w:firstLine="480" w:firstLineChars="200"/>
        <w:rPr>
          <w:rFonts w:ascii="宋体" w:hAnsi="宋体" w:eastAsia="宋体" w:cs="宋体"/>
          <w:kern w:val="0"/>
          <w:sz w:val="24"/>
          <w:lang w:bidi="zh-CN"/>
        </w:rPr>
      </w:pPr>
      <w:r>
        <w:rPr>
          <w:rFonts w:hint="eastAsia" w:ascii="宋体" w:hAnsi="宋体" w:eastAsia="宋体" w:cs="宋体"/>
          <w:kern w:val="0"/>
          <w:sz w:val="24"/>
          <w:lang w:bidi="zh-CN"/>
        </w:rPr>
        <w:t>本校得到其他高校的大力支持，为中药制药专业的建设提供了强有力的支撑。设立中药制药新专业，从目标定位、专业建设、师资力量等各方面将得到广州中医药大学和广州医科大学中西医结合研究所（中西医临床学院）的大力支持，与广州南方学院相关学科专业实现教学师资资源共享；聘用附属从化区中医院专业队伍作为临床实践教学师资；打造创新型的中医药特色的与产业融合的“双师型”师资队伍；与行业企业、医院合作建立兼职教师库，落实学校兼职教师聘任、管理与考核办法，提高和保证兼职教师的教学质量，为新专业的建设、办学条件和运行提供有力保障。</w:t>
      </w:r>
    </w:p>
    <w:p>
      <w:pPr>
        <w:spacing w:line="360" w:lineRule="auto"/>
        <w:rPr>
          <w:rFonts w:ascii="微软雅黑" w:hAnsi="微软雅黑" w:eastAsia="微软雅黑"/>
          <w:b/>
          <w:bCs/>
          <w:sz w:val="28"/>
          <w:szCs w:val="28"/>
        </w:rPr>
      </w:pPr>
      <w:r>
        <w:rPr>
          <w:rFonts w:hint="eastAsia" w:ascii="微软雅黑" w:hAnsi="微软雅黑" w:eastAsia="微软雅黑"/>
          <w:b/>
          <w:bCs/>
          <w:sz w:val="28"/>
          <w:szCs w:val="28"/>
        </w:rPr>
        <w:t>二、专业建设指导思想</w:t>
      </w:r>
    </w:p>
    <w:p>
      <w:pPr>
        <w:spacing w:line="520" w:lineRule="exact"/>
        <w:ind w:firstLine="420"/>
        <w:rPr>
          <w:rFonts w:ascii="宋体" w:hAnsi="宋体" w:eastAsia="宋体"/>
          <w:sz w:val="24"/>
          <w:szCs w:val="24"/>
        </w:rPr>
      </w:pPr>
      <w:r>
        <w:rPr>
          <w:rFonts w:hint="eastAsia" w:ascii="宋体" w:hAnsi="宋体" w:eastAsia="宋体"/>
          <w:sz w:val="24"/>
          <w:szCs w:val="24"/>
        </w:rPr>
        <w:t>坚持有中国特色的社会主义办学方向，全面贯彻《中共中央国务院关于深化教育改革全面推进素质教育的决定》，遵循本科教育和人才市场的规律。以教育部提出的“以教育思想观念改革为先导，以教学改革为核心，以教学基本建设为重点，注重提高质量，努力办出特色”作为宗旨，用新时期的人才观、质量观、教学观来指导本专业的教学改革，在专业教学改革中充分体现创新能力、创业能力和实践能力的培养，体现人文精神和科学精神的结合，增强就业竞争能力和职业变换的适应能力，增强自学能力和可持续发展能力，使学生“学会学习、学会生存、学会发展”，全面推进素质教育。以专业结构调整为重点，全面加强专业建设。以培养中药制药高等技术应用性专门人才为根本任务，合理构筑学生的知识、能力、素质结构体系，系统加强教学内容、培养模式的改革，全面提高学生对经济市场的适应能力。</w:t>
      </w:r>
    </w:p>
    <w:p>
      <w:pPr>
        <w:spacing w:line="520" w:lineRule="exact"/>
        <w:ind w:firstLine="420"/>
        <w:rPr>
          <w:rFonts w:ascii="宋体" w:hAnsi="宋体" w:eastAsia="宋体"/>
          <w:sz w:val="24"/>
          <w:szCs w:val="24"/>
        </w:rPr>
      </w:pPr>
      <w:r>
        <w:rPr>
          <w:rFonts w:hint="eastAsia" w:ascii="宋体" w:hAnsi="宋体" w:eastAsia="宋体"/>
          <w:sz w:val="24"/>
          <w:szCs w:val="24"/>
        </w:rPr>
        <w:t>本专业建设要与学校定位、专业定位及人才培养目标相结合，以市场需求为导向，以加强专业建设和提高教学质量为基础，以专业特色为主线，以培养学生的技术应用能力、社会适应能力、创新能力和综合素养，提高学生就业率为根本。以实现从学科导向转向以产业需求为导向，从专业分割转向跨界交又融合，从适应服务转向支撑引领；以产业需求建专业，构建中药制药专业新结构，推进学科交叉融合、产教融合。</w:t>
      </w:r>
    </w:p>
    <w:p>
      <w:pPr>
        <w:spacing w:before="156" w:beforeLines="50" w:line="360" w:lineRule="auto"/>
        <w:rPr>
          <w:rFonts w:ascii="微软雅黑" w:hAnsi="微软雅黑" w:eastAsia="微软雅黑"/>
          <w:b/>
          <w:bCs/>
          <w:sz w:val="28"/>
          <w:szCs w:val="28"/>
        </w:rPr>
      </w:pPr>
      <w:bookmarkStart w:id="0" w:name="_Hlk74585562"/>
      <w:r>
        <w:rPr>
          <w:rFonts w:hint="eastAsia" w:ascii="微软雅黑" w:hAnsi="微软雅黑" w:eastAsia="微软雅黑"/>
          <w:b/>
          <w:bCs/>
          <w:sz w:val="28"/>
          <w:szCs w:val="28"/>
        </w:rPr>
        <w:t>三、专业建设目标</w:t>
      </w:r>
    </w:p>
    <w:bookmarkEnd w:id="0"/>
    <w:p>
      <w:pPr>
        <w:widowControl/>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建设一支爱岗敬业、业务水平高、在数量、学历结构、职称结构等方面都满足本科教育需要的，优秀的教师队伍。</w:t>
      </w:r>
    </w:p>
    <w:p>
      <w:pPr>
        <w:widowControl/>
        <w:spacing w:line="360" w:lineRule="auto"/>
        <w:ind w:firstLine="482" w:firstLineChars="200"/>
        <w:jc w:val="left"/>
        <w:rPr>
          <w:rFonts w:ascii="宋体" w:hAnsi="宋体" w:eastAsia="宋体" w:cs="Times New Roman"/>
          <w:b/>
          <w:sz w:val="24"/>
          <w:szCs w:val="24"/>
        </w:rPr>
      </w:pPr>
      <w:r>
        <w:rPr>
          <w:rFonts w:ascii="宋体" w:hAnsi="宋体" w:eastAsia="宋体" w:cs="Times New Roman"/>
          <w:b/>
          <w:sz w:val="24"/>
          <w:szCs w:val="24"/>
        </w:rPr>
        <w:t>1．进一步完善职业能力、职业素质“定岗式”工学结合的人才培养模式，构建基于</w:t>
      </w:r>
      <w:r>
        <w:rPr>
          <w:rFonts w:hint="eastAsia" w:ascii="宋体" w:hAnsi="宋体" w:eastAsia="宋体" w:cs="Times New Roman"/>
          <w:b/>
          <w:sz w:val="24"/>
          <w:szCs w:val="24"/>
        </w:rPr>
        <w:t>中药制药产业链</w:t>
      </w:r>
      <w:r>
        <w:rPr>
          <w:rFonts w:ascii="宋体" w:hAnsi="宋体" w:eastAsia="宋体" w:cs="Times New Roman"/>
          <w:b/>
          <w:sz w:val="24"/>
          <w:szCs w:val="24"/>
        </w:rPr>
        <w:t>工作过程的课程体系</w:t>
      </w:r>
    </w:p>
    <w:p>
      <w:pPr>
        <w:widowControl/>
        <w:spacing w:line="360" w:lineRule="auto"/>
        <w:ind w:firstLine="480" w:firstLineChars="200"/>
        <w:jc w:val="left"/>
        <w:rPr>
          <w:rFonts w:ascii="宋体" w:hAnsi="宋体" w:eastAsia="宋体" w:cs="Times New Roman"/>
          <w:sz w:val="24"/>
          <w:szCs w:val="24"/>
        </w:rPr>
      </w:pPr>
      <w:r>
        <w:rPr>
          <w:rFonts w:ascii="宋体" w:hAnsi="宋体" w:eastAsia="宋体" w:cs="Times New Roman"/>
          <w:sz w:val="24"/>
          <w:szCs w:val="24"/>
        </w:rPr>
        <w:t>成立</w:t>
      </w:r>
      <w:r>
        <w:rPr>
          <w:rFonts w:hint="eastAsia" w:ascii="宋体" w:hAnsi="宋体" w:eastAsia="宋体" w:cs="Times New Roman"/>
          <w:sz w:val="24"/>
          <w:szCs w:val="24"/>
        </w:rPr>
        <w:t>中药制药</w:t>
      </w:r>
      <w:r>
        <w:rPr>
          <w:rFonts w:ascii="宋体" w:hAnsi="宋体" w:eastAsia="宋体" w:cs="Times New Roman"/>
          <w:sz w:val="24"/>
          <w:szCs w:val="24"/>
        </w:rPr>
        <w:t>专业指导委员会，按照职业岗位的能力要求，与</w:t>
      </w:r>
      <w:r>
        <w:rPr>
          <w:rFonts w:hint="eastAsia" w:ascii="宋体" w:hAnsi="宋体" w:eastAsia="宋体" w:cs="Times New Roman"/>
          <w:sz w:val="24"/>
          <w:szCs w:val="24"/>
        </w:rPr>
        <w:t>药企</w:t>
      </w:r>
      <w:r>
        <w:rPr>
          <w:rFonts w:ascii="宋体" w:hAnsi="宋体" w:eastAsia="宋体" w:cs="Times New Roman"/>
          <w:sz w:val="24"/>
          <w:szCs w:val="24"/>
        </w:rPr>
        <w:t>合作开展人才培养模式的理论研究与实践探索，优化“定岗式”工学结合的人才培养模式，修订专业人才培养方案，使人才培养更加贴近社会需要、贴近岗位实际。</w:t>
      </w:r>
    </w:p>
    <w:p>
      <w:pPr>
        <w:widowControl/>
        <w:spacing w:line="360" w:lineRule="auto"/>
        <w:ind w:firstLine="480" w:firstLineChars="200"/>
        <w:jc w:val="left"/>
        <w:rPr>
          <w:rFonts w:ascii="宋体" w:hAnsi="宋体" w:eastAsia="宋体" w:cs="Times New Roman"/>
          <w:sz w:val="24"/>
          <w:szCs w:val="24"/>
        </w:rPr>
      </w:pPr>
      <w:r>
        <w:rPr>
          <w:rFonts w:ascii="宋体" w:hAnsi="宋体" w:eastAsia="宋体" w:cs="Times New Roman"/>
          <w:sz w:val="24"/>
          <w:szCs w:val="24"/>
        </w:rPr>
        <w:t>以培养具有职业道德、职业技能和就业能力的</w:t>
      </w:r>
      <w:r>
        <w:rPr>
          <w:rFonts w:hint="eastAsia" w:ascii="宋体" w:hAnsi="宋体" w:eastAsia="宋体" w:cs="Times New Roman"/>
          <w:sz w:val="24"/>
          <w:szCs w:val="24"/>
        </w:rPr>
        <w:t>中药制药的生产、经营与管理</w:t>
      </w:r>
      <w:r>
        <w:rPr>
          <w:rFonts w:ascii="宋体" w:hAnsi="宋体" w:eastAsia="宋体" w:cs="Times New Roman"/>
          <w:sz w:val="24"/>
          <w:szCs w:val="24"/>
        </w:rPr>
        <w:t>人才为目标，以</w:t>
      </w:r>
      <w:r>
        <w:rPr>
          <w:rFonts w:hint="eastAsia" w:ascii="宋体" w:hAnsi="宋体" w:eastAsia="宋体" w:cs="Times New Roman"/>
          <w:sz w:val="24"/>
          <w:szCs w:val="24"/>
        </w:rPr>
        <w:t>中药制药产业链中高级</w:t>
      </w:r>
      <w:r>
        <w:rPr>
          <w:rFonts w:ascii="宋体" w:hAnsi="宋体" w:eastAsia="宋体" w:cs="Times New Roman"/>
          <w:sz w:val="24"/>
          <w:szCs w:val="24"/>
        </w:rPr>
        <w:t>工作岗位能力为逻辑主线重构课程体系，</w:t>
      </w:r>
      <w:r>
        <w:rPr>
          <w:rFonts w:hint="eastAsia" w:ascii="宋体" w:hAnsi="宋体" w:eastAsia="宋体" w:cs="Times New Roman"/>
          <w:sz w:val="24"/>
          <w:szCs w:val="24"/>
        </w:rPr>
        <w:t>校企</w:t>
      </w:r>
      <w:r>
        <w:rPr>
          <w:rFonts w:ascii="宋体" w:hAnsi="宋体" w:eastAsia="宋体" w:cs="Times New Roman"/>
          <w:sz w:val="24"/>
          <w:szCs w:val="24"/>
        </w:rPr>
        <w:t>共同开发优质核心课程1门、</w:t>
      </w:r>
      <w:r>
        <w:rPr>
          <w:rFonts w:hint="eastAsia" w:ascii="宋体" w:hAnsi="宋体" w:eastAsia="宋体" w:cs="Times New Roman"/>
          <w:sz w:val="24"/>
          <w:szCs w:val="24"/>
        </w:rPr>
        <w:t>2</w:t>
      </w:r>
      <w:r>
        <w:rPr>
          <w:rFonts w:ascii="宋体" w:hAnsi="宋体" w:eastAsia="宋体" w:cs="Times New Roman"/>
          <w:sz w:val="24"/>
          <w:szCs w:val="24"/>
        </w:rPr>
        <w:t>门精品资源共享课，编写</w:t>
      </w:r>
      <w:r>
        <w:rPr>
          <w:rFonts w:hint="eastAsia" w:ascii="宋体" w:hAnsi="宋体" w:eastAsia="宋体" w:cs="Times New Roman"/>
          <w:sz w:val="24"/>
          <w:szCs w:val="24"/>
        </w:rPr>
        <w:t>1</w:t>
      </w:r>
      <w:r>
        <w:rPr>
          <w:rFonts w:ascii="宋体" w:hAnsi="宋体" w:eastAsia="宋体" w:cs="Times New Roman"/>
          <w:sz w:val="24"/>
          <w:szCs w:val="24"/>
        </w:rPr>
        <w:t>部规划教材及</w:t>
      </w:r>
      <w:r>
        <w:rPr>
          <w:rFonts w:hint="eastAsia" w:ascii="宋体" w:hAnsi="宋体" w:eastAsia="宋体" w:cs="Times New Roman"/>
          <w:sz w:val="24"/>
          <w:szCs w:val="24"/>
        </w:rPr>
        <w:t>2</w:t>
      </w:r>
      <w:r>
        <w:rPr>
          <w:rFonts w:ascii="宋体" w:hAnsi="宋体" w:eastAsia="宋体" w:cs="Times New Roman"/>
          <w:sz w:val="24"/>
          <w:szCs w:val="24"/>
        </w:rPr>
        <w:t>部校本教材，鼓励教师积极开展双语教学，使双语教学课程比例占专业主干课程的10%以上。</w:t>
      </w:r>
    </w:p>
    <w:p>
      <w:pPr>
        <w:widowControl/>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校企合作，积极争取相关行业企业的支持，参与办学，在联合制订专业人才培养方案、联合培养人才、组织教师培训、共建实训与实习基地、联合开展技术合作等方面建立稳定的合作关系，增强办学活力。要加强学校教育与社会生产实践相结合，促进职业教育与职业培训的沟通与衔接，强化学生职业能力培养，不断增强学校的办学活力和吸引力。</w:t>
      </w:r>
    </w:p>
    <w:p>
      <w:pPr>
        <w:widowControl/>
        <w:spacing w:line="360" w:lineRule="auto"/>
        <w:ind w:firstLine="482" w:firstLineChars="200"/>
        <w:jc w:val="left"/>
        <w:rPr>
          <w:rFonts w:ascii="宋体" w:hAnsi="宋体" w:eastAsia="宋体" w:cs="Times New Roman"/>
          <w:b/>
          <w:sz w:val="24"/>
          <w:szCs w:val="24"/>
        </w:rPr>
      </w:pPr>
      <w:r>
        <w:rPr>
          <w:rFonts w:ascii="宋体" w:hAnsi="宋体" w:eastAsia="宋体" w:cs="Times New Roman"/>
          <w:b/>
          <w:sz w:val="24"/>
          <w:szCs w:val="24"/>
        </w:rPr>
        <w:t>2．</w:t>
      </w:r>
      <w:r>
        <w:rPr>
          <w:rFonts w:hint="eastAsia" w:ascii="宋体" w:hAnsi="宋体" w:eastAsia="宋体" w:cs="Times New Roman"/>
          <w:b/>
          <w:sz w:val="24"/>
          <w:szCs w:val="24"/>
        </w:rPr>
        <w:t>提升师资开展教科研水平，</w:t>
      </w:r>
      <w:r>
        <w:rPr>
          <w:rFonts w:ascii="宋体" w:hAnsi="宋体" w:eastAsia="宋体" w:cs="Times New Roman"/>
          <w:b/>
          <w:sz w:val="24"/>
          <w:szCs w:val="24"/>
        </w:rPr>
        <w:t>打造一支结构合理、专兼结合的专业教学团队</w:t>
      </w:r>
    </w:p>
    <w:p>
      <w:pPr>
        <w:widowControl/>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根据专业建设的需要，认真制订好教师队伍建设、实验室与实训基地建设规划，大力加强专业教师的培养、引进和培训工作，建立一支具有双师素质的师资队伍；要加强教学设施建设，建好一批科技含量高、管理科学的专业教学实验（实训）室和校外实训基地；要多渠道筹措建设资金，不断改善办学条件。</w:t>
      </w:r>
    </w:p>
    <w:p>
      <w:pPr>
        <w:widowControl/>
        <w:spacing w:line="360" w:lineRule="auto"/>
        <w:ind w:firstLine="480" w:firstLineChars="200"/>
        <w:jc w:val="left"/>
        <w:rPr>
          <w:rFonts w:ascii="宋体" w:hAnsi="宋体" w:eastAsia="宋体" w:cs="Times New Roman"/>
          <w:sz w:val="24"/>
          <w:szCs w:val="24"/>
        </w:rPr>
      </w:pPr>
      <w:r>
        <w:rPr>
          <w:rFonts w:ascii="宋体" w:hAnsi="宋体" w:eastAsia="宋体" w:cs="Times New Roman"/>
          <w:sz w:val="24"/>
          <w:szCs w:val="24"/>
        </w:rPr>
        <w:t>以全面提高教师队伍素质为核心，以培养中青年专业带头人和骨干教师为重点，加强双师素质教师队伍建设，制订高层次人才引进计划，进一步优化教师队伍结构。</w:t>
      </w:r>
      <w:r>
        <w:rPr>
          <w:rFonts w:hint="eastAsia" w:ascii="宋体" w:hAnsi="宋体" w:eastAsia="宋体" w:cs="Times New Roman"/>
          <w:sz w:val="24"/>
          <w:szCs w:val="24"/>
        </w:rPr>
        <w:t>现有师资基础上，实施“名师工程”，加大建设和提升力度，</w:t>
      </w:r>
      <w:r>
        <w:rPr>
          <w:rFonts w:ascii="宋体" w:hAnsi="宋体" w:eastAsia="宋体" w:cs="Times New Roman"/>
          <w:sz w:val="24"/>
          <w:szCs w:val="24"/>
        </w:rPr>
        <w:t>引进或培养专业带头人</w:t>
      </w:r>
      <w:r>
        <w:rPr>
          <w:rFonts w:hint="eastAsia" w:ascii="宋体" w:hAnsi="宋体" w:eastAsia="宋体" w:cs="Times New Roman"/>
          <w:sz w:val="24"/>
          <w:szCs w:val="24"/>
        </w:rPr>
        <w:t>1-2</w:t>
      </w:r>
      <w:r>
        <w:rPr>
          <w:rFonts w:ascii="宋体" w:hAnsi="宋体" w:eastAsia="宋体" w:cs="Times New Roman"/>
          <w:sz w:val="24"/>
          <w:szCs w:val="24"/>
        </w:rPr>
        <w:t>名，骨干教师</w:t>
      </w:r>
      <w:r>
        <w:rPr>
          <w:rFonts w:hint="eastAsia" w:ascii="宋体" w:hAnsi="宋体" w:eastAsia="宋体" w:cs="Times New Roman"/>
          <w:sz w:val="24"/>
          <w:szCs w:val="24"/>
        </w:rPr>
        <w:t>3</w:t>
      </w:r>
      <w:r>
        <w:rPr>
          <w:rFonts w:ascii="宋体" w:hAnsi="宋体" w:eastAsia="宋体" w:cs="Times New Roman"/>
          <w:sz w:val="24"/>
          <w:szCs w:val="24"/>
        </w:rPr>
        <w:t>名，聘请兼职教师</w:t>
      </w:r>
      <w:r>
        <w:rPr>
          <w:rFonts w:hint="eastAsia" w:ascii="宋体" w:hAnsi="宋体" w:eastAsia="宋体" w:cs="Times New Roman"/>
          <w:sz w:val="24"/>
          <w:szCs w:val="24"/>
        </w:rPr>
        <w:t>2</w:t>
      </w:r>
      <w:r>
        <w:rPr>
          <w:rFonts w:ascii="宋体" w:hAnsi="宋体" w:eastAsia="宋体" w:cs="Times New Roman"/>
          <w:sz w:val="24"/>
          <w:szCs w:val="24"/>
        </w:rPr>
        <w:t>名，使双师素质教师提升20%，</w:t>
      </w:r>
      <w:r>
        <w:rPr>
          <w:rFonts w:hint="eastAsia" w:ascii="宋体" w:hAnsi="宋体" w:eastAsia="宋体" w:cs="Times New Roman"/>
          <w:sz w:val="24"/>
          <w:szCs w:val="24"/>
        </w:rPr>
        <w:t>承担校外教科研立项1项以上；校级教科研立项2项以上；年人均在刊物上发表学术论文1篇。</w:t>
      </w:r>
      <w:r>
        <w:rPr>
          <w:rFonts w:ascii="宋体" w:hAnsi="宋体" w:eastAsia="宋体" w:cs="Times New Roman"/>
          <w:sz w:val="24"/>
          <w:szCs w:val="24"/>
        </w:rPr>
        <w:t>把专业教学团队建设成为一支</w:t>
      </w:r>
      <w:r>
        <w:rPr>
          <w:rFonts w:hint="eastAsia" w:ascii="宋体" w:hAnsi="宋体" w:eastAsia="宋体" w:cs="Times New Roman"/>
          <w:sz w:val="24"/>
          <w:szCs w:val="24"/>
        </w:rPr>
        <w:t>职称结构、年龄结构、学历结构、技能特长结构合理</w:t>
      </w:r>
      <w:r>
        <w:rPr>
          <w:rFonts w:ascii="宋体" w:hAnsi="宋体" w:eastAsia="宋体" w:cs="Times New Roman"/>
          <w:sz w:val="24"/>
          <w:szCs w:val="24"/>
        </w:rPr>
        <w:t>的适应高等</w:t>
      </w:r>
      <w:r>
        <w:rPr>
          <w:rFonts w:hint="eastAsia" w:ascii="宋体" w:hAnsi="宋体" w:eastAsia="宋体" w:cs="Times New Roman"/>
          <w:sz w:val="24"/>
          <w:szCs w:val="24"/>
        </w:rPr>
        <w:t>中药制药</w:t>
      </w:r>
      <w:r>
        <w:rPr>
          <w:rFonts w:ascii="宋体" w:hAnsi="宋体" w:eastAsia="宋体" w:cs="Times New Roman"/>
          <w:sz w:val="24"/>
          <w:szCs w:val="24"/>
        </w:rPr>
        <w:t>职业教育发展的优秀教学团队。</w:t>
      </w:r>
    </w:p>
    <w:p>
      <w:pPr>
        <w:widowControl/>
        <w:spacing w:before="156" w:beforeLines="50" w:line="360" w:lineRule="auto"/>
        <w:ind w:firstLine="482" w:firstLineChars="200"/>
        <w:jc w:val="left"/>
        <w:rPr>
          <w:rFonts w:ascii="宋体" w:hAnsi="宋体" w:eastAsia="宋体" w:cs="Times New Roman"/>
          <w:b/>
          <w:sz w:val="24"/>
          <w:szCs w:val="24"/>
        </w:rPr>
      </w:pPr>
      <w:r>
        <w:rPr>
          <w:rFonts w:hint="eastAsia" w:ascii="宋体" w:hAnsi="宋体" w:eastAsia="宋体" w:cs="Times New Roman"/>
          <w:b/>
          <w:sz w:val="24"/>
          <w:szCs w:val="24"/>
        </w:rPr>
        <w:t>3</w:t>
      </w:r>
      <w:r>
        <w:rPr>
          <w:rFonts w:ascii="宋体" w:hAnsi="宋体" w:eastAsia="宋体" w:cs="Times New Roman"/>
          <w:b/>
          <w:sz w:val="24"/>
          <w:szCs w:val="24"/>
        </w:rPr>
        <w:t>.</w:t>
      </w:r>
      <w:r>
        <w:rPr>
          <w:rFonts w:hint="eastAsia" w:ascii="宋体" w:hAnsi="宋体" w:eastAsia="宋体" w:cs="Times New Roman"/>
          <w:b/>
          <w:sz w:val="24"/>
          <w:szCs w:val="24"/>
        </w:rPr>
        <w:t>提升师资开展教科研水平， 大力推动教研科研建设</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教师要有厚实的专业底蕴，强烈的事业心，还要求有较强的科研能力和科研实践。实践证明，具有一定科研实践的教师，其讲课很少是照本宣科式的单纯传授与灌输。教师通过教研及科研工作，将研究成果带进了课堂，丰富了教学内容，将大大调动学生学习的兴趣，接近理论知识与实际应用的距离，教学相长，促进了专业建设，使专业发展走在学术发展的前沿。</w:t>
      </w:r>
    </w:p>
    <w:p>
      <w:pPr>
        <w:widowControl/>
        <w:spacing w:line="360" w:lineRule="auto"/>
        <w:ind w:firstLine="482" w:firstLineChars="200"/>
        <w:jc w:val="left"/>
        <w:rPr>
          <w:rFonts w:ascii="宋体" w:hAnsi="宋体" w:eastAsia="宋体" w:cs="Times New Roman"/>
          <w:b/>
          <w:sz w:val="24"/>
          <w:szCs w:val="24"/>
        </w:rPr>
      </w:pPr>
      <w:r>
        <w:rPr>
          <w:rFonts w:ascii="宋体" w:hAnsi="宋体" w:eastAsia="宋体" w:cs="Times New Roman"/>
          <w:b/>
          <w:sz w:val="24"/>
          <w:szCs w:val="24"/>
        </w:rPr>
        <w:t>4．</w:t>
      </w:r>
      <w:r>
        <w:rPr>
          <w:rFonts w:hint="eastAsia" w:ascii="宋体" w:hAnsi="宋体" w:eastAsia="宋体" w:cs="Times New Roman"/>
          <w:b/>
          <w:sz w:val="24"/>
          <w:szCs w:val="24"/>
        </w:rPr>
        <w:t>校企合作，建立</w:t>
      </w:r>
      <w:r>
        <w:rPr>
          <w:rFonts w:ascii="宋体" w:hAnsi="宋体" w:eastAsia="宋体" w:cs="Times New Roman"/>
          <w:b/>
          <w:sz w:val="24"/>
          <w:szCs w:val="24"/>
        </w:rPr>
        <w:t>融“教学、实训、培训、技能鉴定、技术服务”五位一体的校内外实训基地</w:t>
      </w:r>
    </w:p>
    <w:p>
      <w:pPr>
        <w:widowControl/>
        <w:spacing w:line="360" w:lineRule="auto"/>
        <w:ind w:firstLine="480" w:firstLineChars="200"/>
        <w:jc w:val="left"/>
        <w:rPr>
          <w:rFonts w:ascii="宋体" w:hAnsi="宋体" w:eastAsia="宋体" w:cs="Times New Roman"/>
          <w:sz w:val="24"/>
          <w:szCs w:val="24"/>
        </w:rPr>
      </w:pPr>
      <w:r>
        <w:rPr>
          <w:rFonts w:ascii="宋体" w:hAnsi="宋体" w:eastAsia="宋体" w:cs="Times New Roman"/>
          <w:sz w:val="24"/>
          <w:szCs w:val="24"/>
        </w:rPr>
        <w:t>加大实验实训条件建设力度，使专业实验室面积达</w:t>
      </w:r>
      <w:r>
        <w:rPr>
          <w:rFonts w:hint="eastAsia" w:ascii="宋体" w:hAnsi="宋体" w:eastAsia="宋体" w:cs="Times New Roman"/>
          <w:sz w:val="24"/>
          <w:szCs w:val="24"/>
        </w:rPr>
        <w:t>500</w:t>
      </w:r>
      <w:r>
        <w:rPr>
          <w:rFonts w:ascii="宋体" w:hAnsi="宋体" w:eastAsia="宋体" w:cs="Times New Roman"/>
          <w:sz w:val="24"/>
          <w:szCs w:val="24"/>
        </w:rPr>
        <w:t>m</w:t>
      </w:r>
      <w:r>
        <w:rPr>
          <w:rFonts w:ascii="宋体" w:hAnsi="宋体" w:eastAsia="宋体" w:cs="Times New Roman"/>
          <w:sz w:val="24"/>
          <w:szCs w:val="24"/>
          <w:vertAlign w:val="superscript"/>
        </w:rPr>
        <w:t>2</w:t>
      </w:r>
      <w:r>
        <w:rPr>
          <w:rFonts w:ascii="宋体" w:hAnsi="宋体" w:eastAsia="宋体" w:cs="Times New Roman"/>
          <w:sz w:val="24"/>
          <w:szCs w:val="24"/>
        </w:rPr>
        <w:t>，设备总值达</w:t>
      </w:r>
      <w:r>
        <w:rPr>
          <w:rFonts w:hint="eastAsia" w:ascii="宋体" w:hAnsi="宋体" w:eastAsia="宋体" w:cs="Times New Roman"/>
          <w:sz w:val="24"/>
          <w:szCs w:val="24"/>
        </w:rPr>
        <w:t>300</w:t>
      </w:r>
      <w:r>
        <w:rPr>
          <w:rFonts w:ascii="宋体" w:hAnsi="宋体" w:eastAsia="宋体" w:cs="Times New Roman"/>
          <w:sz w:val="24"/>
          <w:szCs w:val="24"/>
        </w:rPr>
        <w:t>万元，逐步建立一个设备先进、布局合理、功能完备的</w:t>
      </w:r>
      <w:r>
        <w:rPr>
          <w:rFonts w:hint="eastAsia" w:ascii="宋体" w:hAnsi="宋体" w:eastAsia="宋体" w:cs="Times New Roman"/>
          <w:sz w:val="24"/>
          <w:szCs w:val="24"/>
        </w:rPr>
        <w:t>中药制药生产、检验、综合应用的实训中心</w:t>
      </w:r>
      <w:r>
        <w:rPr>
          <w:rFonts w:ascii="宋体" w:hAnsi="宋体" w:eastAsia="宋体" w:cs="Times New Roman"/>
          <w:sz w:val="24"/>
          <w:szCs w:val="24"/>
        </w:rPr>
        <w:t>。新增10家以上的校外实习基地的建设。建成融“教学、实训、培训、技能鉴定、技术服务”五位一体的校内外实训基地。</w:t>
      </w:r>
      <w:r>
        <w:rPr>
          <w:rFonts w:hint="eastAsia" w:ascii="宋体" w:hAnsi="宋体" w:eastAsia="宋体" w:cs="Times New Roman"/>
          <w:sz w:val="24"/>
          <w:szCs w:val="24"/>
        </w:rPr>
        <w:t>创新人才培养模式，根据实践性、开放性和职业性的原则，探索任务驱动、项目导向等教学模式，保证学生在校期间有1年以上时间到企业和用人单位顶岗实习，提高人才培养的针对性和适应性。</w:t>
      </w:r>
    </w:p>
    <w:p>
      <w:pPr>
        <w:spacing w:before="156" w:beforeLines="50" w:after="156" w:afterLines="50"/>
        <w:rPr>
          <w:rFonts w:ascii="微软雅黑" w:hAnsi="微软雅黑" w:eastAsia="微软雅黑"/>
          <w:b/>
          <w:bCs/>
          <w:sz w:val="28"/>
          <w:szCs w:val="28"/>
        </w:rPr>
      </w:pPr>
      <w:r>
        <w:rPr>
          <w:rFonts w:hint="eastAsia" w:ascii="微软雅黑" w:hAnsi="微软雅黑" w:eastAsia="微软雅黑"/>
          <w:b/>
          <w:bCs/>
          <w:sz w:val="28"/>
          <w:szCs w:val="28"/>
        </w:rPr>
        <w:t>四、建设内容与措施</w:t>
      </w:r>
    </w:p>
    <w:p>
      <w:pPr>
        <w:widowControl/>
        <w:adjustRightInd w:val="0"/>
        <w:snapToGrid w:val="0"/>
        <w:spacing w:line="360" w:lineRule="auto"/>
        <w:jc w:val="left"/>
        <w:rPr>
          <w:rFonts w:ascii="宋体" w:hAnsi="宋体" w:eastAsia="宋体" w:cs="Times New Roman"/>
          <w:b/>
          <w:sz w:val="24"/>
          <w:szCs w:val="24"/>
        </w:rPr>
      </w:pPr>
      <w:r>
        <w:rPr>
          <w:rFonts w:hint="eastAsia" w:ascii="宋体" w:hAnsi="宋体" w:eastAsia="宋体" w:cs="Times New Roman"/>
          <w:b/>
          <w:sz w:val="24"/>
          <w:szCs w:val="24"/>
        </w:rPr>
        <w:t>（一）加强专业教科研及教学资源建设，提升中药制药专业软实力</w:t>
      </w:r>
    </w:p>
    <w:p>
      <w:pPr>
        <w:autoSpaceDE w:val="0"/>
        <w:autoSpaceDN w:val="0"/>
        <w:adjustRightInd w:val="0"/>
        <w:spacing w:line="360" w:lineRule="auto"/>
        <w:ind w:firstLine="480" w:firstLineChars="200"/>
        <w:jc w:val="left"/>
        <w:rPr>
          <w:rFonts w:ascii="Calibri" w:hAnsi="Calibri" w:eastAsia="宋体" w:cs="Times New Roman"/>
          <w:kern w:val="0"/>
          <w:sz w:val="24"/>
          <w:szCs w:val="24"/>
        </w:rPr>
      </w:pPr>
      <w:r>
        <w:rPr>
          <w:rFonts w:ascii="Calibri" w:hAnsi="Calibri" w:eastAsia="宋体" w:cs="Times New Roman"/>
          <w:kern w:val="0"/>
          <w:sz w:val="24"/>
          <w:szCs w:val="24"/>
        </w:rPr>
        <w:t>1.加强</w:t>
      </w:r>
      <w:r>
        <w:rPr>
          <w:rFonts w:hint="eastAsia" w:ascii="Calibri" w:hAnsi="Calibri" w:eastAsia="宋体" w:cs="Times New Roman"/>
          <w:kern w:val="0"/>
          <w:sz w:val="24"/>
          <w:szCs w:val="24"/>
        </w:rPr>
        <w:t>科研及</w:t>
      </w:r>
      <w:r>
        <w:rPr>
          <w:rFonts w:ascii="Calibri" w:hAnsi="Calibri" w:eastAsia="宋体" w:cs="Times New Roman"/>
          <w:kern w:val="0"/>
          <w:sz w:val="24"/>
          <w:szCs w:val="24"/>
        </w:rPr>
        <w:t>教学管理制度建设</w:t>
      </w:r>
    </w:p>
    <w:p>
      <w:pPr>
        <w:autoSpaceDE w:val="0"/>
        <w:autoSpaceDN w:val="0"/>
        <w:adjustRightInd w:val="0"/>
        <w:spacing w:line="360" w:lineRule="auto"/>
        <w:ind w:firstLine="480" w:firstLineChars="200"/>
        <w:jc w:val="left"/>
        <w:rPr>
          <w:rFonts w:ascii="Calibri" w:hAnsi="Calibri" w:eastAsia="宋体" w:cs="Times New Roman"/>
          <w:kern w:val="0"/>
          <w:sz w:val="24"/>
          <w:szCs w:val="24"/>
        </w:rPr>
      </w:pPr>
      <w:r>
        <w:rPr>
          <w:rFonts w:hint="eastAsia" w:ascii="Calibri" w:hAnsi="Calibri" w:eastAsia="宋体" w:cs="Times New Roman"/>
          <w:kern w:val="0"/>
          <w:sz w:val="24"/>
          <w:szCs w:val="24"/>
        </w:rPr>
        <w:t>为进一步调动教师教育教学和科研工作的积极性，培养一支高素质的中青年骨干教师、专业（学科）带头人和科研骨干队伍，打造学院的办学特色和优势，促进学院的可持续发展，</w:t>
      </w:r>
      <w:r>
        <w:rPr>
          <w:rFonts w:ascii="Calibri" w:hAnsi="Calibri" w:eastAsia="宋体" w:cs="Times New Roman"/>
          <w:kern w:val="0"/>
          <w:sz w:val="24"/>
          <w:szCs w:val="24"/>
        </w:rPr>
        <w:t>根据高职院校的特点和规律，结合学院专业</w:t>
      </w:r>
      <w:r>
        <w:rPr>
          <w:rFonts w:hint="eastAsia" w:ascii="Calibri" w:hAnsi="Calibri" w:eastAsia="宋体" w:cs="Times New Roman"/>
          <w:kern w:val="0"/>
          <w:sz w:val="24"/>
          <w:szCs w:val="24"/>
        </w:rPr>
        <w:t>布局规划</w:t>
      </w:r>
      <w:r>
        <w:rPr>
          <w:rFonts w:ascii="Calibri" w:hAnsi="Calibri" w:eastAsia="宋体" w:cs="Times New Roman"/>
          <w:kern w:val="0"/>
          <w:sz w:val="24"/>
          <w:szCs w:val="24"/>
        </w:rPr>
        <w:t>与专业定位，加强教学管理制度建设</w:t>
      </w:r>
      <w:r>
        <w:rPr>
          <w:rFonts w:hint="eastAsia" w:ascii="Calibri" w:hAnsi="Calibri" w:eastAsia="宋体" w:cs="Times New Roman"/>
          <w:kern w:val="0"/>
          <w:sz w:val="24"/>
          <w:szCs w:val="24"/>
        </w:rPr>
        <w:t>；</w:t>
      </w:r>
      <w:r>
        <w:rPr>
          <w:rFonts w:ascii="Calibri" w:hAnsi="Calibri" w:eastAsia="宋体" w:cs="Times New Roman"/>
          <w:kern w:val="0"/>
          <w:sz w:val="24"/>
          <w:szCs w:val="24"/>
        </w:rPr>
        <w:t>按照教育部《高等职业学校、高等专科学校和成人高等学校教育管理要求》，严格各项教学管理制度，加强教学运行规范管理，确保人才培养质量；根据专业发展趋势和定位，面向市场，调整，优化专业结构，及时修订人才培养方案</w:t>
      </w:r>
      <w:r>
        <w:rPr>
          <w:rFonts w:hint="eastAsia" w:ascii="Calibri" w:hAnsi="Calibri" w:eastAsia="宋体" w:cs="Times New Roman"/>
          <w:kern w:val="0"/>
          <w:sz w:val="24"/>
          <w:szCs w:val="24"/>
        </w:rPr>
        <w:t>、</w:t>
      </w:r>
      <w:r>
        <w:rPr>
          <w:rFonts w:ascii="Calibri" w:hAnsi="Calibri" w:eastAsia="宋体" w:cs="Times New Roman"/>
          <w:kern w:val="0"/>
          <w:sz w:val="24"/>
          <w:szCs w:val="24"/>
        </w:rPr>
        <w:t>专业课程教学</w:t>
      </w:r>
      <w:r>
        <w:rPr>
          <w:rFonts w:hint="eastAsia" w:ascii="Calibri" w:hAnsi="Calibri" w:eastAsia="宋体" w:cs="Times New Roman"/>
          <w:kern w:val="0"/>
          <w:sz w:val="24"/>
          <w:szCs w:val="24"/>
        </w:rPr>
        <w:t>规范、</w:t>
      </w:r>
      <w:r>
        <w:rPr>
          <w:rFonts w:ascii="Calibri" w:hAnsi="Calibri" w:eastAsia="宋体" w:cs="Times New Roman"/>
          <w:kern w:val="0"/>
          <w:sz w:val="24"/>
          <w:szCs w:val="24"/>
        </w:rPr>
        <w:t>实践教学</w:t>
      </w:r>
      <w:r>
        <w:rPr>
          <w:rFonts w:hint="eastAsia" w:ascii="Calibri" w:hAnsi="Calibri" w:eastAsia="宋体" w:cs="Times New Roman"/>
          <w:kern w:val="0"/>
          <w:sz w:val="24"/>
          <w:szCs w:val="24"/>
        </w:rPr>
        <w:t>方案</w:t>
      </w:r>
      <w:r>
        <w:rPr>
          <w:rFonts w:ascii="Calibri" w:hAnsi="Calibri" w:eastAsia="宋体" w:cs="Times New Roman"/>
          <w:kern w:val="0"/>
          <w:sz w:val="24"/>
          <w:szCs w:val="24"/>
        </w:rPr>
        <w:t>，完善教学质量控制体系。</w:t>
      </w:r>
    </w:p>
    <w:p>
      <w:pPr>
        <w:autoSpaceDE w:val="0"/>
        <w:autoSpaceDN w:val="0"/>
        <w:adjustRightInd w:val="0"/>
        <w:spacing w:line="360" w:lineRule="auto"/>
        <w:ind w:firstLine="480" w:firstLineChars="200"/>
        <w:jc w:val="left"/>
        <w:rPr>
          <w:rFonts w:ascii="Calibri" w:hAnsi="Calibri" w:eastAsia="宋体" w:cs="Times New Roman"/>
          <w:kern w:val="0"/>
          <w:sz w:val="24"/>
          <w:szCs w:val="24"/>
        </w:rPr>
      </w:pPr>
      <w:r>
        <w:rPr>
          <w:rFonts w:hint="eastAsia" w:ascii="Calibri" w:hAnsi="Calibri" w:eastAsia="宋体" w:cs="Times New Roman"/>
          <w:kern w:val="0"/>
          <w:sz w:val="24"/>
          <w:szCs w:val="24"/>
        </w:rPr>
        <w:t>2.</w:t>
      </w:r>
      <w:r>
        <w:rPr>
          <w:rFonts w:ascii="Calibri" w:hAnsi="Calibri" w:eastAsia="宋体" w:cs="Times New Roman"/>
          <w:kern w:val="0"/>
          <w:sz w:val="24"/>
          <w:szCs w:val="24"/>
        </w:rPr>
        <w:t>加强教学研究、改革与实践</w:t>
      </w:r>
    </w:p>
    <w:p>
      <w:pPr>
        <w:autoSpaceDE w:val="0"/>
        <w:autoSpaceDN w:val="0"/>
        <w:adjustRightInd w:val="0"/>
        <w:spacing w:line="360" w:lineRule="auto"/>
        <w:ind w:firstLine="480" w:firstLineChars="200"/>
        <w:jc w:val="left"/>
        <w:rPr>
          <w:rFonts w:ascii="Calibri" w:hAnsi="Calibri" w:eastAsia="宋体" w:cs="Times New Roman"/>
          <w:kern w:val="0"/>
          <w:sz w:val="24"/>
          <w:szCs w:val="24"/>
        </w:rPr>
      </w:pPr>
      <w:r>
        <w:rPr>
          <w:rFonts w:ascii="Calibri" w:hAnsi="Calibri" w:eastAsia="宋体" w:cs="Times New Roman"/>
          <w:kern w:val="0"/>
          <w:sz w:val="24"/>
          <w:szCs w:val="24"/>
        </w:rPr>
        <w:t>要根据发展需要，不断加强职业教育研究工作，扩大研究范围，提高研究层次，在研究内容与水平上都要有新的突破，理论与实践相结合，根据教学工作中存在的问题有针对性的开展教学改革研究与实践。</w:t>
      </w:r>
      <w:r>
        <w:rPr>
          <w:rFonts w:hint="eastAsia" w:ascii="Calibri" w:hAnsi="Calibri" w:eastAsia="宋体" w:cs="Times New Roman"/>
          <w:kern w:val="0"/>
          <w:sz w:val="24"/>
          <w:szCs w:val="24"/>
        </w:rPr>
        <w:t>专业教师要根据</w:t>
      </w:r>
      <w:r>
        <w:rPr>
          <w:rFonts w:ascii="Calibri" w:hAnsi="Calibri" w:eastAsia="宋体" w:cs="Times New Roman"/>
          <w:kern w:val="0"/>
          <w:sz w:val="24"/>
          <w:szCs w:val="24"/>
        </w:rPr>
        <w:t>各自的定位与规划，在微观层面上要不断探索专业的人才培养模式，开展关于教学内容与课程的总结，形成一些针对性强、目的明确、指导意义重大且具有可操作性的教学改革成果。同时，进一步发挥教学改革的指导作用，加强成果的推广与应用。</w:t>
      </w:r>
    </w:p>
    <w:p>
      <w:pPr>
        <w:autoSpaceDE w:val="0"/>
        <w:autoSpaceDN w:val="0"/>
        <w:adjustRightInd w:val="0"/>
        <w:spacing w:line="360" w:lineRule="auto"/>
        <w:ind w:firstLine="480" w:firstLineChars="200"/>
        <w:jc w:val="left"/>
        <w:rPr>
          <w:rFonts w:ascii="Calibri" w:hAnsi="Calibri" w:eastAsia="宋体" w:cs="Times New Roman"/>
          <w:kern w:val="0"/>
          <w:sz w:val="24"/>
          <w:szCs w:val="24"/>
        </w:rPr>
      </w:pPr>
      <w:r>
        <w:rPr>
          <w:rFonts w:ascii="Calibri" w:hAnsi="Calibri" w:eastAsia="宋体" w:cs="Times New Roman"/>
          <w:kern w:val="0"/>
          <w:sz w:val="24"/>
          <w:szCs w:val="24"/>
        </w:rPr>
        <w:t>3</w:t>
      </w:r>
      <w:r>
        <w:rPr>
          <w:rFonts w:hint="eastAsia" w:ascii="Calibri" w:hAnsi="Calibri" w:eastAsia="宋体" w:cs="Times New Roman"/>
          <w:kern w:val="0"/>
          <w:sz w:val="24"/>
          <w:szCs w:val="24"/>
        </w:rPr>
        <w:t>.</w:t>
      </w:r>
      <w:r>
        <w:rPr>
          <w:rFonts w:ascii="Calibri" w:hAnsi="Calibri" w:eastAsia="宋体" w:cs="Times New Roman"/>
          <w:kern w:val="0"/>
          <w:sz w:val="24"/>
          <w:szCs w:val="24"/>
        </w:rPr>
        <w:t>突出特色，加强专业教材建设</w:t>
      </w:r>
    </w:p>
    <w:p>
      <w:pPr>
        <w:autoSpaceDE w:val="0"/>
        <w:autoSpaceDN w:val="0"/>
        <w:adjustRightInd w:val="0"/>
        <w:spacing w:line="360" w:lineRule="auto"/>
        <w:ind w:firstLine="480" w:firstLineChars="200"/>
        <w:jc w:val="left"/>
        <w:rPr>
          <w:rFonts w:ascii="宋体" w:hAnsi="宋体" w:eastAsia="宋体" w:cs="Times New Roman"/>
          <w:sz w:val="24"/>
          <w:szCs w:val="24"/>
        </w:rPr>
      </w:pPr>
      <w:r>
        <w:rPr>
          <w:rFonts w:ascii="Calibri" w:hAnsi="Calibri" w:eastAsia="宋体" w:cs="Times New Roman"/>
          <w:kern w:val="0"/>
          <w:sz w:val="24"/>
          <w:szCs w:val="24"/>
        </w:rPr>
        <w:t>鼓励</w:t>
      </w:r>
      <w:r>
        <w:rPr>
          <w:rFonts w:hint="eastAsia" w:ascii="Calibri" w:hAnsi="Calibri" w:eastAsia="宋体" w:cs="Times New Roman"/>
          <w:kern w:val="0"/>
          <w:sz w:val="24"/>
          <w:szCs w:val="24"/>
        </w:rPr>
        <w:t>专业</w:t>
      </w:r>
      <w:r>
        <w:rPr>
          <w:rFonts w:ascii="Calibri" w:hAnsi="Calibri" w:eastAsia="宋体" w:cs="Times New Roman"/>
          <w:kern w:val="0"/>
          <w:sz w:val="24"/>
          <w:szCs w:val="24"/>
        </w:rPr>
        <w:t>教师结合</w:t>
      </w:r>
      <w:r>
        <w:rPr>
          <w:rFonts w:hint="eastAsia" w:ascii="Calibri" w:hAnsi="Calibri" w:eastAsia="宋体" w:cs="Times New Roman"/>
          <w:kern w:val="0"/>
          <w:sz w:val="24"/>
          <w:szCs w:val="24"/>
        </w:rPr>
        <w:t>本</w:t>
      </w:r>
      <w:r>
        <w:rPr>
          <w:rFonts w:ascii="Calibri" w:hAnsi="Calibri" w:eastAsia="宋体" w:cs="Times New Roman"/>
          <w:kern w:val="0"/>
          <w:sz w:val="24"/>
          <w:szCs w:val="24"/>
        </w:rPr>
        <w:t>专业</w:t>
      </w:r>
      <w:r>
        <w:rPr>
          <w:rFonts w:hint="eastAsia" w:ascii="Calibri" w:hAnsi="Calibri" w:eastAsia="宋体" w:cs="Times New Roman"/>
          <w:kern w:val="0"/>
          <w:sz w:val="24"/>
          <w:szCs w:val="24"/>
        </w:rPr>
        <w:t>，</w:t>
      </w:r>
      <w:r>
        <w:rPr>
          <w:rFonts w:ascii="Calibri" w:hAnsi="Calibri" w:eastAsia="宋体" w:cs="Times New Roman"/>
          <w:kern w:val="0"/>
          <w:sz w:val="24"/>
          <w:szCs w:val="24"/>
        </w:rPr>
        <w:t>有计划、有步骤的与</w:t>
      </w:r>
      <w:r>
        <w:rPr>
          <w:rFonts w:hint="eastAsia" w:ascii="Calibri" w:hAnsi="Calibri" w:eastAsia="宋体" w:cs="Times New Roman"/>
          <w:kern w:val="0"/>
          <w:sz w:val="24"/>
          <w:szCs w:val="24"/>
        </w:rPr>
        <w:t>广州市仪器行业协会会员单位</w:t>
      </w:r>
      <w:r>
        <w:rPr>
          <w:rFonts w:ascii="Calibri" w:hAnsi="Calibri" w:eastAsia="宋体" w:cs="Times New Roman"/>
          <w:kern w:val="0"/>
          <w:sz w:val="24"/>
          <w:szCs w:val="24"/>
        </w:rPr>
        <w:t>企业技术专家合作开发紧密结合生产实际</w:t>
      </w:r>
      <w:r>
        <w:rPr>
          <w:rFonts w:hint="eastAsia" w:ascii="Calibri" w:hAnsi="Calibri" w:eastAsia="宋体" w:cs="Times New Roman"/>
          <w:kern w:val="0"/>
          <w:sz w:val="24"/>
          <w:szCs w:val="24"/>
        </w:rPr>
        <w:t>、</w:t>
      </w:r>
      <w:r>
        <w:rPr>
          <w:rFonts w:ascii="Calibri" w:hAnsi="Calibri" w:eastAsia="宋体" w:cs="Times New Roman"/>
          <w:kern w:val="0"/>
          <w:sz w:val="24"/>
          <w:szCs w:val="24"/>
        </w:rPr>
        <w:t>特色鲜明的校本专业教材及实践指导书，并注重多媒体课件的引入与开发，支持参与国家规划教材建设，至20</w:t>
      </w:r>
      <w:r>
        <w:rPr>
          <w:rFonts w:hint="eastAsia" w:ascii="Calibri" w:hAnsi="Calibri" w:eastAsia="宋体" w:cs="Times New Roman"/>
          <w:kern w:val="0"/>
          <w:sz w:val="24"/>
          <w:szCs w:val="24"/>
        </w:rPr>
        <w:t>22</w:t>
      </w:r>
      <w:r>
        <w:rPr>
          <w:rFonts w:ascii="Calibri" w:hAnsi="Calibri" w:eastAsia="宋体" w:cs="Times New Roman"/>
          <w:kern w:val="0"/>
          <w:sz w:val="24"/>
          <w:szCs w:val="24"/>
        </w:rPr>
        <w:t>年，力争推出</w:t>
      </w:r>
      <w:r>
        <w:rPr>
          <w:rFonts w:ascii="宋体" w:hAnsi="宋体" w:eastAsia="宋体" w:cs="Times New Roman"/>
          <w:sz w:val="24"/>
          <w:szCs w:val="24"/>
        </w:rPr>
        <w:t>编写</w:t>
      </w:r>
      <w:r>
        <w:rPr>
          <w:rFonts w:hint="eastAsia" w:ascii="宋体" w:hAnsi="宋体" w:eastAsia="宋体" w:cs="Times New Roman"/>
          <w:sz w:val="24"/>
          <w:szCs w:val="24"/>
        </w:rPr>
        <w:t>1</w:t>
      </w:r>
      <w:r>
        <w:rPr>
          <w:rFonts w:ascii="宋体" w:hAnsi="宋体" w:eastAsia="宋体" w:cs="Times New Roman"/>
          <w:sz w:val="24"/>
          <w:szCs w:val="24"/>
        </w:rPr>
        <w:t>部规划教材及</w:t>
      </w:r>
      <w:r>
        <w:rPr>
          <w:rFonts w:hint="eastAsia" w:ascii="宋体" w:hAnsi="宋体" w:eastAsia="宋体" w:cs="Times New Roman"/>
          <w:sz w:val="24"/>
          <w:szCs w:val="24"/>
        </w:rPr>
        <w:t>2</w:t>
      </w:r>
      <w:r>
        <w:rPr>
          <w:rFonts w:ascii="宋体" w:hAnsi="宋体" w:eastAsia="宋体" w:cs="Times New Roman"/>
          <w:sz w:val="24"/>
          <w:szCs w:val="24"/>
        </w:rPr>
        <w:t>部校本教材</w:t>
      </w:r>
      <w:r>
        <w:rPr>
          <w:rFonts w:hint="eastAsia" w:ascii="宋体" w:hAnsi="宋体" w:eastAsia="宋体" w:cs="Times New Roman"/>
          <w:sz w:val="24"/>
          <w:szCs w:val="24"/>
        </w:rPr>
        <w:t>。</w:t>
      </w:r>
    </w:p>
    <w:p>
      <w:pPr>
        <w:autoSpaceDE w:val="0"/>
        <w:autoSpaceDN w:val="0"/>
        <w:adjustRightInd w:val="0"/>
        <w:spacing w:line="360" w:lineRule="auto"/>
        <w:ind w:firstLine="480" w:firstLineChars="200"/>
        <w:jc w:val="left"/>
        <w:rPr>
          <w:rFonts w:ascii="Calibri" w:hAnsi="Calibri" w:eastAsia="宋体" w:cs="Times New Roman"/>
          <w:kern w:val="0"/>
          <w:sz w:val="24"/>
          <w:szCs w:val="24"/>
        </w:rPr>
      </w:pPr>
      <w:r>
        <w:rPr>
          <w:rFonts w:ascii="Calibri" w:hAnsi="Calibri" w:eastAsia="宋体" w:cs="Times New Roman"/>
          <w:kern w:val="0"/>
          <w:sz w:val="24"/>
          <w:szCs w:val="24"/>
        </w:rPr>
        <w:t>4.</w:t>
      </w:r>
      <w:r>
        <w:rPr>
          <w:rFonts w:hint="eastAsia" w:ascii="Calibri" w:hAnsi="Calibri" w:eastAsia="宋体" w:cs="Times New Roman"/>
          <w:kern w:val="0"/>
          <w:sz w:val="24"/>
          <w:szCs w:val="24"/>
        </w:rPr>
        <w:t>加强网络课程（微课）建设</w:t>
      </w:r>
    </w:p>
    <w:p>
      <w:pPr>
        <w:widowControl/>
        <w:spacing w:line="360" w:lineRule="auto"/>
        <w:ind w:firstLine="480" w:firstLineChars="200"/>
        <w:jc w:val="left"/>
        <w:rPr>
          <w:rFonts w:ascii="Calibri" w:hAnsi="Calibri" w:eastAsia="宋体" w:cs="Times New Roman"/>
          <w:kern w:val="0"/>
          <w:sz w:val="24"/>
          <w:szCs w:val="24"/>
        </w:rPr>
      </w:pPr>
      <w:r>
        <w:rPr>
          <w:rFonts w:hint="eastAsia" w:ascii="Calibri" w:hAnsi="Calibri" w:eastAsia="宋体" w:cs="Times New Roman"/>
          <w:kern w:val="0"/>
          <w:sz w:val="24"/>
          <w:szCs w:val="24"/>
        </w:rPr>
        <w:t>根据专业课程体系，围绕专业基础课、专业核心课、专业综合课程主线，分批分期开展主干课程的网络课程（微课）建设。2022-2023学年力争建设1门专业基础课的网络教学资源；2023-2024学年力争建设2门专业核心课的网络教学资源。</w:t>
      </w:r>
    </w:p>
    <w:p>
      <w:pPr>
        <w:widowControl/>
        <w:spacing w:line="360" w:lineRule="auto"/>
        <w:ind w:firstLine="480" w:firstLineChars="200"/>
        <w:jc w:val="left"/>
        <w:rPr>
          <w:rFonts w:ascii="Calibri" w:hAnsi="Calibri" w:eastAsia="宋体" w:cs="Times New Roman"/>
          <w:kern w:val="0"/>
          <w:sz w:val="24"/>
          <w:szCs w:val="24"/>
        </w:rPr>
      </w:pPr>
      <w:r>
        <w:rPr>
          <w:rFonts w:ascii="Calibri" w:hAnsi="Calibri" w:eastAsia="宋体" w:cs="Times New Roman"/>
          <w:kern w:val="0"/>
          <w:sz w:val="24"/>
          <w:szCs w:val="24"/>
        </w:rPr>
        <w:t>5</w:t>
      </w:r>
      <w:r>
        <w:rPr>
          <w:rFonts w:hint="eastAsia" w:ascii="Calibri" w:hAnsi="Calibri" w:eastAsia="宋体" w:cs="Times New Roman"/>
          <w:kern w:val="0"/>
          <w:sz w:val="24"/>
          <w:szCs w:val="24"/>
        </w:rPr>
        <w:t>.大力输入制药企业的技术人才</w:t>
      </w:r>
    </w:p>
    <w:p>
      <w:pPr>
        <w:widowControl/>
        <w:spacing w:line="360" w:lineRule="auto"/>
        <w:ind w:firstLine="480" w:firstLineChars="200"/>
        <w:jc w:val="left"/>
        <w:rPr>
          <w:rFonts w:ascii="Calibri" w:hAnsi="Calibri" w:eastAsia="宋体" w:cs="Times New Roman"/>
          <w:kern w:val="0"/>
          <w:sz w:val="24"/>
          <w:szCs w:val="24"/>
        </w:rPr>
      </w:pPr>
      <w:r>
        <w:rPr>
          <w:rFonts w:hint="eastAsia" w:ascii="Calibri" w:hAnsi="Calibri" w:eastAsia="宋体" w:cs="Times New Roman"/>
          <w:kern w:val="0"/>
          <w:sz w:val="24"/>
          <w:szCs w:val="24"/>
        </w:rPr>
        <w:t>结合广州市仪器行业协会会员单位的技术型人才做兼职导师，根据企业的实际情况教育学校，能够及时跟进社会的技术需求，以及减少企业对学生的培养时间，打到“双赢”的局面。</w:t>
      </w:r>
    </w:p>
    <w:p>
      <w:pPr>
        <w:widowControl/>
        <w:spacing w:line="360" w:lineRule="auto"/>
        <w:jc w:val="left"/>
        <w:rPr>
          <w:rFonts w:ascii="宋体" w:hAnsi="宋体" w:eastAsia="宋体" w:cs="Times New Roman"/>
          <w:b/>
          <w:sz w:val="24"/>
          <w:szCs w:val="24"/>
        </w:rPr>
      </w:pPr>
      <w:r>
        <w:rPr>
          <w:rFonts w:hint="eastAsia" w:ascii="宋体" w:hAnsi="宋体" w:eastAsia="宋体" w:cs="Times New Roman"/>
          <w:b/>
          <w:sz w:val="24"/>
          <w:szCs w:val="24"/>
        </w:rPr>
        <w:t>（二）</w:t>
      </w:r>
      <w:r>
        <w:rPr>
          <w:rFonts w:ascii="宋体" w:hAnsi="宋体" w:eastAsia="宋体" w:cs="Times New Roman"/>
          <w:b/>
          <w:sz w:val="24"/>
          <w:szCs w:val="24"/>
        </w:rPr>
        <w:t>打造一支结构合理、专兼结合的专业教学团队</w:t>
      </w:r>
    </w:p>
    <w:p>
      <w:pPr>
        <w:spacing w:line="360" w:lineRule="auto"/>
        <w:ind w:firstLine="480" w:firstLineChars="200"/>
        <w:jc w:val="left"/>
        <w:rPr>
          <w:rFonts w:ascii="黑体" w:hAnsi="黑体" w:eastAsia="黑体" w:cs="Times New Roman"/>
          <w:sz w:val="24"/>
          <w:szCs w:val="24"/>
        </w:rPr>
      </w:pPr>
      <w:r>
        <w:rPr>
          <w:rFonts w:hint="eastAsia" w:ascii="宋体" w:hAnsi="宋体" w:eastAsia="宋体" w:cs="宋体"/>
          <w:color w:val="000000"/>
          <w:sz w:val="24"/>
          <w:szCs w:val="24"/>
        </w:rPr>
        <w:t>为了使本校中药制药专业切实发挥出教育、培训、鉴定和技术服务等功能，必须要有一支理论素质高、动手能力强的“双师型”师资队伍。在师资队伍建设过程中，要做到数量足够、结构合理、素质优良、相对稳定、专兼结合，以满足实训基地对教师的要求。</w:t>
      </w:r>
    </w:p>
    <w:p>
      <w:pPr>
        <w:widowControl/>
        <w:adjustRightInd w:val="0"/>
        <w:snapToGrid w:val="0"/>
        <w:spacing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1</w:t>
      </w:r>
      <w:r>
        <w:rPr>
          <w:rFonts w:ascii="宋体" w:hAnsi="宋体" w:eastAsia="宋体" w:cs="宋体"/>
          <w:b/>
          <w:bCs/>
          <w:color w:val="000000"/>
          <w:sz w:val="24"/>
          <w:szCs w:val="24"/>
        </w:rPr>
        <w:t>.</w:t>
      </w:r>
      <w:r>
        <w:rPr>
          <w:rFonts w:hint="eastAsia" w:ascii="宋体" w:hAnsi="宋体" w:eastAsia="宋体" w:cs="宋体"/>
          <w:b/>
          <w:bCs/>
          <w:color w:val="000000"/>
          <w:sz w:val="24"/>
          <w:szCs w:val="24"/>
        </w:rPr>
        <w:t>企业</w:t>
      </w:r>
      <w:r>
        <w:rPr>
          <w:rFonts w:ascii="宋体" w:hAnsi="宋体" w:eastAsia="宋体" w:cs="宋体"/>
          <w:b/>
          <w:bCs/>
          <w:color w:val="000000"/>
          <w:sz w:val="24"/>
          <w:szCs w:val="24"/>
        </w:rPr>
        <w:t>专业带头人和骨干教师培养</w:t>
      </w:r>
    </w:p>
    <w:p>
      <w:pPr>
        <w:widowControl/>
        <w:adjustRightInd w:val="0"/>
        <w:snapToGrid w:val="0"/>
        <w:spacing w:line="360" w:lineRule="auto"/>
        <w:ind w:firstLine="480" w:firstLineChars="200"/>
        <w:jc w:val="left"/>
        <w:rPr>
          <w:rFonts w:ascii="宋体" w:hAnsi="宋体" w:eastAsia="宋体" w:cs="宋体"/>
          <w:color w:val="000000"/>
          <w:sz w:val="24"/>
          <w:szCs w:val="24"/>
        </w:rPr>
      </w:pPr>
      <w:r>
        <w:rPr>
          <w:rFonts w:ascii="宋体" w:hAnsi="宋体" w:eastAsia="宋体" w:cs="宋体"/>
          <w:color w:val="000000"/>
          <w:sz w:val="24"/>
          <w:szCs w:val="24"/>
        </w:rPr>
        <w:t>通过参加学术交流与合作，承担省级教改及科研项目，主持专业课程开发与教材编写，通过出国培训等途径，使之成为视野开阔，在</w:t>
      </w:r>
      <w:r>
        <w:rPr>
          <w:rFonts w:hint="eastAsia" w:ascii="宋体" w:hAnsi="宋体" w:eastAsia="宋体" w:cs="宋体"/>
          <w:color w:val="000000"/>
          <w:kern w:val="0"/>
          <w:sz w:val="24"/>
          <w:szCs w:val="28"/>
        </w:rPr>
        <w:t>中药制药</w:t>
      </w:r>
      <w:r>
        <w:rPr>
          <w:rFonts w:ascii="宋体" w:hAnsi="宋体" w:eastAsia="宋体" w:cs="宋体"/>
          <w:color w:val="000000"/>
          <w:sz w:val="24"/>
          <w:szCs w:val="24"/>
        </w:rPr>
        <w:t>行业有一定影响力、能够把握</w:t>
      </w:r>
      <w:r>
        <w:rPr>
          <w:rFonts w:hint="eastAsia" w:ascii="宋体" w:hAnsi="宋体" w:eastAsia="宋体" w:cs="宋体"/>
          <w:color w:val="000000"/>
          <w:kern w:val="0"/>
          <w:sz w:val="24"/>
          <w:szCs w:val="28"/>
        </w:rPr>
        <w:t>中药制药</w:t>
      </w:r>
      <w:r>
        <w:rPr>
          <w:rFonts w:ascii="宋体" w:hAnsi="宋体" w:eastAsia="宋体" w:cs="宋体"/>
          <w:color w:val="000000"/>
          <w:sz w:val="24"/>
          <w:szCs w:val="24"/>
        </w:rPr>
        <w:t>专业发展方向、并对</w:t>
      </w:r>
      <w:r>
        <w:rPr>
          <w:rFonts w:hint="eastAsia" w:ascii="宋体" w:hAnsi="宋体" w:eastAsia="宋体" w:cs="宋体"/>
          <w:color w:val="000000"/>
          <w:sz w:val="24"/>
          <w:szCs w:val="24"/>
        </w:rPr>
        <w:t>该</w:t>
      </w:r>
      <w:r>
        <w:rPr>
          <w:rFonts w:ascii="宋体" w:hAnsi="宋体" w:eastAsia="宋体" w:cs="宋体"/>
          <w:color w:val="000000"/>
          <w:sz w:val="24"/>
          <w:szCs w:val="24"/>
        </w:rPr>
        <w:t>专业进行总体规划和实施的学科带头人和骨干教师。</w:t>
      </w:r>
    </w:p>
    <w:p>
      <w:pPr>
        <w:widowControl/>
        <w:adjustRightInd w:val="0"/>
        <w:snapToGrid w:val="0"/>
        <w:spacing w:line="360" w:lineRule="auto"/>
        <w:jc w:val="left"/>
        <w:rPr>
          <w:rFonts w:ascii="宋体" w:hAnsi="宋体" w:eastAsia="宋体" w:cs="宋体"/>
          <w:b/>
          <w:bCs/>
          <w:color w:val="000000"/>
          <w:sz w:val="24"/>
          <w:szCs w:val="24"/>
        </w:rPr>
      </w:pPr>
      <w:r>
        <w:rPr>
          <w:rFonts w:ascii="宋体" w:hAnsi="宋体" w:eastAsia="宋体" w:cs="宋体"/>
          <w:b/>
          <w:bCs/>
          <w:color w:val="000000"/>
          <w:sz w:val="24"/>
          <w:szCs w:val="24"/>
        </w:rPr>
        <w:t xml:space="preserve">2.双师素质教师队伍建设 </w:t>
      </w:r>
    </w:p>
    <w:p>
      <w:pPr>
        <w:widowControl/>
        <w:adjustRightInd w:val="0"/>
        <w:snapToGrid w:val="0"/>
        <w:spacing w:line="360" w:lineRule="auto"/>
        <w:jc w:val="left"/>
        <w:rPr>
          <w:rFonts w:ascii="宋体" w:hAnsi="宋体" w:eastAsia="宋体" w:cs="宋体"/>
          <w:color w:val="000000"/>
          <w:sz w:val="24"/>
          <w:szCs w:val="24"/>
        </w:rPr>
      </w:pPr>
      <w:r>
        <w:rPr>
          <w:rFonts w:ascii="宋体" w:hAnsi="宋体" w:eastAsia="宋体" w:cs="宋体"/>
          <w:color w:val="000000"/>
          <w:sz w:val="24"/>
          <w:szCs w:val="24"/>
        </w:rPr>
        <w:t>（1）加大人才引进力度，争取3年内引进</w:t>
      </w:r>
      <w:r>
        <w:rPr>
          <w:rFonts w:hint="eastAsia" w:ascii="宋体" w:hAnsi="宋体" w:eastAsia="宋体" w:cs="宋体"/>
          <w:color w:val="000000"/>
          <w:kern w:val="0"/>
          <w:sz w:val="24"/>
          <w:szCs w:val="28"/>
        </w:rPr>
        <w:t>中药制药</w:t>
      </w:r>
      <w:r>
        <w:rPr>
          <w:rFonts w:hint="eastAsia" w:ascii="宋体" w:hAnsi="宋体" w:eastAsia="宋体" w:cs="宋体"/>
          <w:color w:val="000000"/>
          <w:sz w:val="24"/>
          <w:szCs w:val="24"/>
        </w:rPr>
        <w:t>专业</w:t>
      </w:r>
      <w:r>
        <w:rPr>
          <w:rFonts w:ascii="宋体" w:hAnsi="宋体" w:eastAsia="宋体" w:cs="宋体"/>
          <w:color w:val="000000"/>
          <w:sz w:val="24"/>
          <w:szCs w:val="24"/>
        </w:rPr>
        <w:t>硕士及以上学历教师</w:t>
      </w:r>
      <w:r>
        <w:rPr>
          <w:rFonts w:hint="eastAsia" w:ascii="宋体" w:hAnsi="宋体" w:eastAsia="宋体" w:cs="宋体"/>
          <w:color w:val="000000"/>
          <w:sz w:val="24"/>
          <w:szCs w:val="24"/>
        </w:rPr>
        <w:t>3</w:t>
      </w:r>
      <w:r>
        <w:rPr>
          <w:rFonts w:ascii="宋体" w:hAnsi="宋体" w:eastAsia="宋体" w:cs="宋体"/>
          <w:color w:val="000000"/>
          <w:sz w:val="24"/>
          <w:szCs w:val="24"/>
        </w:rPr>
        <w:t>名。</w:t>
      </w:r>
    </w:p>
    <w:p>
      <w:pPr>
        <w:widowControl/>
        <w:adjustRightInd w:val="0"/>
        <w:snapToGrid w:val="0"/>
        <w:spacing w:line="360" w:lineRule="auto"/>
        <w:jc w:val="left"/>
        <w:rPr>
          <w:rFonts w:ascii="宋体" w:hAnsi="宋体" w:eastAsia="宋体" w:cs="宋体"/>
          <w:color w:val="000000"/>
          <w:sz w:val="24"/>
          <w:szCs w:val="24"/>
        </w:rPr>
      </w:pPr>
      <w:r>
        <w:rPr>
          <w:rFonts w:ascii="宋体" w:hAnsi="宋体" w:eastAsia="宋体" w:cs="宋体"/>
          <w:color w:val="000000"/>
          <w:sz w:val="24"/>
          <w:szCs w:val="24"/>
        </w:rPr>
        <w:t>（2）鼓励教师参加各种形式的继续教育、学历提高、现代教育技术培训，提高其教育教学能力，能胜任课程建设与教学教改；</w:t>
      </w:r>
    </w:p>
    <w:p>
      <w:pPr>
        <w:widowControl/>
        <w:adjustRightInd w:val="0"/>
        <w:snapToGrid w:val="0"/>
        <w:spacing w:line="360" w:lineRule="auto"/>
        <w:jc w:val="left"/>
        <w:rPr>
          <w:rFonts w:ascii="宋体" w:hAnsi="宋体" w:eastAsia="宋体" w:cs="宋体"/>
          <w:color w:val="000000"/>
          <w:sz w:val="24"/>
          <w:szCs w:val="24"/>
        </w:rPr>
      </w:pPr>
      <w:r>
        <w:rPr>
          <w:rFonts w:ascii="宋体" w:hAnsi="宋体" w:eastAsia="宋体" w:cs="宋体"/>
          <w:color w:val="000000"/>
          <w:sz w:val="24"/>
          <w:szCs w:val="24"/>
        </w:rPr>
        <w:t>（3）派专业教师到知名高校、</w:t>
      </w:r>
      <w:r>
        <w:rPr>
          <w:rFonts w:hint="eastAsia" w:ascii="宋体" w:hAnsi="宋体" w:eastAsia="宋体" w:cs="宋体"/>
          <w:color w:val="000000"/>
          <w:sz w:val="24"/>
          <w:szCs w:val="24"/>
        </w:rPr>
        <w:t>企业</w:t>
      </w:r>
      <w:r>
        <w:rPr>
          <w:rFonts w:ascii="宋体" w:hAnsi="宋体" w:eastAsia="宋体" w:cs="宋体"/>
          <w:color w:val="000000"/>
          <w:sz w:val="24"/>
          <w:szCs w:val="24"/>
        </w:rPr>
        <w:t>进修学习，参加各种专业学术会议，聘请国内外知名</w:t>
      </w:r>
      <w:r>
        <w:rPr>
          <w:rFonts w:hint="eastAsia" w:ascii="宋体" w:hAnsi="宋体" w:eastAsia="宋体" w:cs="宋体"/>
          <w:color w:val="000000"/>
          <w:sz w:val="24"/>
          <w:szCs w:val="24"/>
        </w:rPr>
        <w:t>化妆品行业内</w:t>
      </w:r>
      <w:r>
        <w:rPr>
          <w:rFonts w:ascii="宋体" w:hAnsi="宋体" w:eastAsia="宋体" w:cs="宋体"/>
          <w:color w:val="000000"/>
          <w:sz w:val="24"/>
          <w:szCs w:val="24"/>
        </w:rPr>
        <w:t>专家来校讲学，提升教师专业素质。</w:t>
      </w:r>
    </w:p>
    <w:p>
      <w:pPr>
        <w:widowControl/>
        <w:adjustRightInd w:val="0"/>
        <w:snapToGrid w:val="0"/>
        <w:spacing w:line="360" w:lineRule="auto"/>
        <w:jc w:val="left"/>
        <w:rPr>
          <w:rFonts w:ascii="宋体" w:hAnsi="宋体" w:eastAsia="宋体" w:cs="宋体"/>
          <w:color w:val="000000"/>
          <w:sz w:val="24"/>
          <w:szCs w:val="24"/>
        </w:rPr>
      </w:pPr>
      <w:r>
        <w:rPr>
          <w:rFonts w:ascii="宋体" w:hAnsi="宋体" w:eastAsia="宋体" w:cs="宋体"/>
          <w:color w:val="000000"/>
          <w:sz w:val="24"/>
          <w:szCs w:val="24"/>
        </w:rPr>
        <w:t>（4）创新教师队伍的管理方式与运行机制，实行专职教师实践轮训制，保证专职教师定期</w:t>
      </w:r>
      <w:r>
        <w:rPr>
          <w:rFonts w:hint="eastAsia" w:ascii="宋体" w:hAnsi="宋体" w:eastAsia="宋体" w:cs="宋体"/>
          <w:color w:val="000000"/>
          <w:sz w:val="24"/>
          <w:szCs w:val="24"/>
        </w:rPr>
        <w:t>下企业</w:t>
      </w:r>
      <w:r>
        <w:rPr>
          <w:rFonts w:ascii="宋体" w:hAnsi="宋体" w:eastAsia="宋体" w:cs="宋体"/>
          <w:color w:val="000000"/>
          <w:sz w:val="24"/>
          <w:szCs w:val="24"/>
        </w:rPr>
        <w:t>参与实践，实现教师知识结构与</w:t>
      </w:r>
      <w:r>
        <w:rPr>
          <w:rFonts w:hint="eastAsia" w:ascii="宋体" w:hAnsi="宋体" w:eastAsia="宋体" w:cs="宋体"/>
          <w:color w:val="000000"/>
          <w:kern w:val="0"/>
          <w:sz w:val="24"/>
          <w:szCs w:val="28"/>
        </w:rPr>
        <w:t>中药制药</w:t>
      </w:r>
      <w:r>
        <w:rPr>
          <w:rFonts w:hint="eastAsia" w:ascii="宋体" w:hAnsi="宋体" w:eastAsia="宋体" w:cs="宋体"/>
          <w:color w:val="000000"/>
          <w:sz w:val="24"/>
          <w:szCs w:val="24"/>
        </w:rPr>
        <w:t>行业</w:t>
      </w:r>
      <w:r>
        <w:rPr>
          <w:rFonts w:ascii="宋体" w:hAnsi="宋体" w:eastAsia="宋体" w:cs="宋体"/>
          <w:color w:val="000000"/>
          <w:sz w:val="24"/>
          <w:szCs w:val="24"/>
        </w:rPr>
        <w:t>发展的充分接轨；</w:t>
      </w:r>
    </w:p>
    <w:p>
      <w:pPr>
        <w:widowControl/>
        <w:adjustRightInd w:val="0"/>
        <w:snapToGrid w:val="0"/>
        <w:spacing w:line="360" w:lineRule="auto"/>
        <w:jc w:val="left"/>
        <w:rPr>
          <w:rFonts w:ascii="宋体" w:hAnsi="宋体" w:eastAsia="宋体" w:cs="宋体"/>
          <w:b/>
          <w:bCs/>
          <w:color w:val="000000"/>
          <w:sz w:val="24"/>
          <w:szCs w:val="24"/>
        </w:rPr>
      </w:pPr>
      <w:r>
        <w:rPr>
          <w:rFonts w:ascii="宋体" w:hAnsi="宋体" w:eastAsia="宋体" w:cs="宋体"/>
          <w:b/>
          <w:bCs/>
          <w:color w:val="000000"/>
          <w:sz w:val="24"/>
          <w:szCs w:val="24"/>
        </w:rPr>
        <w:t>3.兼职教师队伍建设</w:t>
      </w:r>
    </w:p>
    <w:p>
      <w:pPr>
        <w:widowControl/>
        <w:adjustRightInd w:val="0"/>
        <w:snapToGrid w:val="0"/>
        <w:spacing w:line="360" w:lineRule="auto"/>
        <w:ind w:firstLine="480" w:firstLineChars="200"/>
        <w:jc w:val="left"/>
        <w:rPr>
          <w:rFonts w:ascii="宋体" w:hAnsi="宋体" w:eastAsia="宋体" w:cs="宋体"/>
          <w:color w:val="000000"/>
          <w:sz w:val="24"/>
          <w:szCs w:val="24"/>
        </w:rPr>
      </w:pPr>
      <w:r>
        <w:rPr>
          <w:rFonts w:ascii="宋体" w:hAnsi="宋体" w:eastAsia="宋体" w:cs="宋体"/>
          <w:color w:val="000000"/>
          <w:sz w:val="24"/>
          <w:szCs w:val="24"/>
        </w:rPr>
        <w:t>严格执行兼职教师试讲制、聘用制。为保证</w:t>
      </w:r>
      <w:r>
        <w:rPr>
          <w:rFonts w:hint="eastAsia" w:ascii="宋体" w:hAnsi="宋体" w:eastAsia="宋体" w:cs="宋体"/>
          <w:color w:val="000000"/>
          <w:sz w:val="24"/>
          <w:szCs w:val="24"/>
        </w:rPr>
        <w:t>课程</w:t>
      </w:r>
      <w:r>
        <w:rPr>
          <w:rFonts w:ascii="宋体" w:hAnsi="宋体" w:eastAsia="宋体" w:cs="宋体"/>
          <w:color w:val="000000"/>
          <w:sz w:val="24"/>
          <w:szCs w:val="24"/>
        </w:rPr>
        <w:t>教学质量，实行兼职教师定期理论培训制学校每年举办兼职教师培训班，要求兼职教师与校内对应学科教师结对，互相听课、评课，共同提高。</w:t>
      </w:r>
    </w:p>
    <w:p>
      <w:pPr>
        <w:widowControl/>
        <w:shd w:val="solid" w:color="FFFFFF" w:fill="auto"/>
        <w:autoSpaceDN w:val="0"/>
        <w:adjustRightInd w:val="0"/>
        <w:snapToGrid w:val="0"/>
        <w:spacing w:line="360" w:lineRule="auto"/>
        <w:ind w:firstLine="420"/>
        <w:jc w:val="center"/>
        <w:rPr>
          <w:rFonts w:ascii="Calibri" w:hAnsi="Calibri" w:eastAsia="宋体" w:cs="Times New Roman"/>
          <w:b/>
          <w:bCs/>
          <w:kern w:val="0"/>
          <w:sz w:val="24"/>
          <w:szCs w:val="24"/>
          <w:shd w:val="clear" w:color="auto" w:fill="FFFFFF"/>
        </w:rPr>
      </w:pPr>
      <w:r>
        <w:rPr>
          <w:rFonts w:hint="eastAsia" w:ascii="Calibri" w:hAnsi="Calibri" w:eastAsia="宋体" w:cs="Times New Roman"/>
          <w:b/>
          <w:bCs/>
          <w:kern w:val="0"/>
          <w:sz w:val="24"/>
          <w:szCs w:val="24"/>
          <w:shd w:val="clear" w:color="auto" w:fill="FFFFFF"/>
        </w:rPr>
        <w:t xml:space="preserve">表1  </w:t>
      </w:r>
      <w:r>
        <w:rPr>
          <w:rFonts w:ascii="Calibri" w:hAnsi="Calibri" w:eastAsia="宋体" w:cs="Times New Roman"/>
          <w:b/>
          <w:bCs/>
          <w:kern w:val="0"/>
          <w:sz w:val="24"/>
          <w:szCs w:val="24"/>
          <w:shd w:val="clear" w:color="auto" w:fill="FFFFFF"/>
        </w:rPr>
        <w:t>师资队伍分年度建设计划</w:t>
      </w:r>
    </w:p>
    <w:tbl>
      <w:tblPr>
        <w:tblStyle w:val="6"/>
        <w:tblW w:w="0" w:type="auto"/>
        <w:tblInd w:w="10" w:type="dxa"/>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fixed"/>
        <w:tblCellMar>
          <w:top w:w="0" w:type="dxa"/>
          <w:left w:w="0" w:type="dxa"/>
          <w:bottom w:w="0" w:type="dxa"/>
          <w:right w:w="0" w:type="dxa"/>
        </w:tblCellMar>
      </w:tblPr>
      <w:tblGrid>
        <w:gridCol w:w="2520"/>
        <w:gridCol w:w="1313"/>
        <w:gridCol w:w="1800"/>
        <w:gridCol w:w="1620"/>
        <w:gridCol w:w="1620"/>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c>
          <w:tcPr>
            <w:tcW w:w="2520" w:type="dxa"/>
            <w:tcBorders>
              <w:top w:val="outset" w:color="000000" w:sz="6" w:space="0"/>
              <w:bottom w:val="outset" w:color="000000" w:sz="6" w:space="0"/>
              <w:right w:val="outset" w:color="000000" w:sz="6" w:space="0"/>
            </w:tcBorders>
            <w:shd w:val="solid" w:color="FFFFFF" w:fill="auto"/>
            <w:vAlign w:val="center"/>
          </w:tcPr>
          <w:p>
            <w:pPr>
              <w:widowControl/>
              <w:shd w:val="solid" w:color="FFFFFF" w:fill="auto"/>
              <w:autoSpaceDN w:val="0"/>
              <w:adjustRightInd w:val="0"/>
              <w:snapToGrid w:val="0"/>
              <w:spacing w:line="360" w:lineRule="auto"/>
              <w:jc w:val="center"/>
              <w:rPr>
                <w:rFonts w:ascii="Calibri" w:hAnsi="Calibri" w:eastAsia="宋体" w:cs="Times New Roman"/>
                <w:b/>
                <w:bCs/>
                <w:kern w:val="0"/>
                <w:szCs w:val="24"/>
                <w:shd w:val="clear" w:color="auto" w:fill="FFFFFF"/>
              </w:rPr>
            </w:pPr>
            <w:r>
              <w:rPr>
                <w:rFonts w:ascii="Calibri" w:hAnsi="Calibri" w:eastAsia="宋体" w:cs="Times New Roman"/>
                <w:b/>
                <w:bCs/>
                <w:kern w:val="0"/>
                <w:szCs w:val="24"/>
                <w:shd w:val="clear" w:color="auto" w:fill="FFFFFF"/>
              </w:rPr>
              <w:t>项目名称</w:t>
            </w:r>
          </w:p>
        </w:tc>
        <w:tc>
          <w:tcPr>
            <w:tcW w:w="1313" w:type="dxa"/>
            <w:tcBorders>
              <w:top w:val="outset" w:color="000000" w:sz="6" w:space="0"/>
              <w:left w:val="outset" w:color="000000" w:sz="6" w:space="0"/>
              <w:bottom w:val="outset" w:color="000000" w:sz="6" w:space="0"/>
              <w:right w:val="outset" w:color="000000" w:sz="6" w:space="0"/>
            </w:tcBorders>
            <w:shd w:val="solid" w:color="FFFFFF" w:fill="auto"/>
            <w:vAlign w:val="center"/>
          </w:tcPr>
          <w:p>
            <w:pPr>
              <w:widowControl/>
              <w:shd w:val="solid" w:color="FFFFFF" w:fill="auto"/>
              <w:autoSpaceDN w:val="0"/>
              <w:adjustRightInd w:val="0"/>
              <w:snapToGrid w:val="0"/>
              <w:spacing w:line="360" w:lineRule="auto"/>
              <w:jc w:val="center"/>
              <w:rPr>
                <w:rFonts w:ascii="Calibri" w:hAnsi="Calibri" w:eastAsia="宋体" w:cs="Times New Roman"/>
                <w:b/>
                <w:bCs/>
                <w:kern w:val="0"/>
                <w:szCs w:val="24"/>
                <w:shd w:val="clear" w:color="auto" w:fill="FFFFFF"/>
              </w:rPr>
            </w:pPr>
            <w:r>
              <w:rPr>
                <w:rFonts w:ascii="Calibri" w:hAnsi="Calibri" w:eastAsia="宋体" w:cs="Times New Roman"/>
                <w:b/>
                <w:bCs/>
                <w:kern w:val="0"/>
                <w:szCs w:val="24"/>
                <w:shd w:val="clear" w:color="auto" w:fill="FFFFFF"/>
              </w:rPr>
              <w:t>现有基础</w:t>
            </w:r>
          </w:p>
        </w:tc>
        <w:tc>
          <w:tcPr>
            <w:tcW w:w="1800" w:type="dxa"/>
            <w:tcBorders>
              <w:top w:val="outset" w:color="000000" w:sz="6" w:space="0"/>
              <w:left w:val="outset" w:color="000000" w:sz="6" w:space="0"/>
              <w:bottom w:val="outset" w:color="000000" w:sz="6" w:space="0"/>
              <w:right w:val="outset" w:color="000000" w:sz="6" w:space="0"/>
            </w:tcBorders>
            <w:shd w:val="solid" w:color="FFFFFF" w:fill="auto"/>
            <w:vAlign w:val="center"/>
          </w:tcPr>
          <w:p>
            <w:pPr>
              <w:widowControl/>
              <w:shd w:val="solid" w:color="FFFFFF" w:fill="auto"/>
              <w:autoSpaceDN w:val="0"/>
              <w:adjustRightInd w:val="0"/>
              <w:snapToGrid w:val="0"/>
              <w:spacing w:line="360" w:lineRule="auto"/>
              <w:jc w:val="center"/>
              <w:rPr>
                <w:rFonts w:ascii="Calibri" w:hAnsi="Calibri" w:eastAsia="宋体" w:cs="Times New Roman"/>
                <w:b/>
                <w:bCs/>
                <w:kern w:val="0"/>
                <w:szCs w:val="24"/>
                <w:shd w:val="clear" w:color="auto" w:fill="FFFFFF"/>
              </w:rPr>
            </w:pPr>
            <w:r>
              <w:rPr>
                <w:rFonts w:ascii="Calibri" w:hAnsi="Calibri" w:eastAsia="宋体" w:cs="Times New Roman"/>
                <w:b/>
                <w:bCs/>
                <w:kern w:val="0"/>
                <w:szCs w:val="24"/>
                <w:shd w:val="clear" w:color="auto" w:fill="FFFFFF"/>
              </w:rPr>
              <w:t>20</w:t>
            </w:r>
            <w:r>
              <w:rPr>
                <w:rFonts w:hint="eastAsia" w:ascii="Calibri" w:hAnsi="Calibri" w:eastAsia="宋体" w:cs="Times New Roman"/>
                <w:b/>
                <w:bCs/>
                <w:kern w:val="0"/>
                <w:szCs w:val="24"/>
                <w:shd w:val="clear" w:color="auto" w:fill="FFFFFF"/>
              </w:rPr>
              <w:t>21</w:t>
            </w:r>
            <w:r>
              <w:rPr>
                <w:rFonts w:ascii="Calibri" w:hAnsi="Calibri" w:eastAsia="宋体" w:cs="Times New Roman"/>
                <w:b/>
                <w:bCs/>
                <w:kern w:val="0"/>
                <w:szCs w:val="24"/>
                <w:shd w:val="clear" w:color="auto" w:fill="FFFFFF"/>
              </w:rPr>
              <w:t>年</w:t>
            </w:r>
          </w:p>
        </w:tc>
        <w:tc>
          <w:tcPr>
            <w:tcW w:w="1620" w:type="dxa"/>
            <w:tcBorders>
              <w:top w:val="outset" w:color="000000" w:sz="6" w:space="0"/>
              <w:left w:val="outset" w:color="000000" w:sz="6" w:space="0"/>
              <w:bottom w:val="outset" w:color="000000" w:sz="6" w:space="0"/>
              <w:right w:val="outset" w:color="000000" w:sz="6" w:space="0"/>
            </w:tcBorders>
            <w:shd w:val="solid" w:color="FFFFFF" w:fill="auto"/>
            <w:vAlign w:val="center"/>
          </w:tcPr>
          <w:p>
            <w:pPr>
              <w:widowControl/>
              <w:shd w:val="solid" w:color="FFFFFF" w:fill="auto"/>
              <w:autoSpaceDN w:val="0"/>
              <w:adjustRightInd w:val="0"/>
              <w:snapToGrid w:val="0"/>
              <w:spacing w:line="360" w:lineRule="auto"/>
              <w:jc w:val="center"/>
              <w:rPr>
                <w:rFonts w:ascii="Calibri" w:hAnsi="Calibri" w:eastAsia="宋体" w:cs="Times New Roman"/>
                <w:b/>
                <w:bCs/>
                <w:kern w:val="0"/>
                <w:szCs w:val="24"/>
                <w:shd w:val="clear" w:color="auto" w:fill="FFFFFF"/>
              </w:rPr>
            </w:pPr>
            <w:r>
              <w:rPr>
                <w:rFonts w:ascii="Calibri" w:hAnsi="Calibri" w:eastAsia="宋体" w:cs="Times New Roman"/>
                <w:b/>
                <w:bCs/>
                <w:kern w:val="0"/>
                <w:szCs w:val="24"/>
                <w:shd w:val="clear" w:color="auto" w:fill="FFFFFF"/>
              </w:rPr>
              <w:t>20</w:t>
            </w:r>
            <w:r>
              <w:rPr>
                <w:rFonts w:hint="eastAsia" w:ascii="Calibri" w:hAnsi="Calibri" w:eastAsia="宋体" w:cs="Times New Roman"/>
                <w:b/>
                <w:bCs/>
                <w:kern w:val="0"/>
                <w:szCs w:val="24"/>
                <w:shd w:val="clear" w:color="auto" w:fill="FFFFFF"/>
              </w:rPr>
              <w:t>22</w:t>
            </w:r>
            <w:r>
              <w:rPr>
                <w:rFonts w:ascii="Calibri" w:hAnsi="Calibri" w:eastAsia="宋体" w:cs="Times New Roman"/>
                <w:b/>
                <w:bCs/>
                <w:kern w:val="0"/>
                <w:szCs w:val="24"/>
                <w:shd w:val="clear" w:color="auto" w:fill="FFFFFF"/>
              </w:rPr>
              <w:t>年</w:t>
            </w:r>
          </w:p>
        </w:tc>
        <w:tc>
          <w:tcPr>
            <w:tcW w:w="1620" w:type="dxa"/>
            <w:tcBorders>
              <w:top w:val="outset" w:color="000000" w:sz="6" w:space="0"/>
              <w:left w:val="outset" w:color="000000" w:sz="6" w:space="0"/>
              <w:bottom w:val="outset" w:color="000000" w:sz="6" w:space="0"/>
            </w:tcBorders>
            <w:shd w:val="solid" w:color="FFFFFF" w:fill="auto"/>
            <w:vAlign w:val="center"/>
          </w:tcPr>
          <w:p>
            <w:pPr>
              <w:widowControl/>
              <w:shd w:val="solid" w:color="FFFFFF" w:fill="auto"/>
              <w:autoSpaceDN w:val="0"/>
              <w:adjustRightInd w:val="0"/>
              <w:snapToGrid w:val="0"/>
              <w:spacing w:line="360" w:lineRule="auto"/>
              <w:jc w:val="center"/>
              <w:rPr>
                <w:rFonts w:ascii="Calibri" w:hAnsi="Calibri" w:eastAsia="宋体" w:cs="Times New Roman"/>
                <w:b/>
                <w:bCs/>
                <w:kern w:val="0"/>
                <w:szCs w:val="24"/>
                <w:shd w:val="clear" w:color="auto" w:fill="FFFFFF"/>
              </w:rPr>
            </w:pPr>
            <w:r>
              <w:rPr>
                <w:rFonts w:ascii="Calibri" w:hAnsi="Calibri" w:eastAsia="宋体" w:cs="Times New Roman"/>
                <w:b/>
                <w:bCs/>
                <w:kern w:val="0"/>
                <w:szCs w:val="24"/>
                <w:shd w:val="clear" w:color="auto" w:fill="FFFFFF"/>
              </w:rPr>
              <w:t>20</w:t>
            </w:r>
            <w:r>
              <w:rPr>
                <w:rFonts w:hint="eastAsia" w:ascii="Calibri" w:hAnsi="Calibri" w:eastAsia="宋体" w:cs="Times New Roman"/>
                <w:b/>
                <w:bCs/>
                <w:kern w:val="0"/>
                <w:szCs w:val="24"/>
                <w:shd w:val="clear" w:color="auto" w:fill="FFFFFF"/>
              </w:rPr>
              <w:t>23年</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c>
          <w:tcPr>
            <w:tcW w:w="2520" w:type="dxa"/>
            <w:tcBorders>
              <w:top w:val="outset" w:color="000000" w:sz="6" w:space="0"/>
              <w:bottom w:val="outset" w:color="000000" w:sz="6" w:space="0"/>
              <w:right w:val="outset" w:color="000000" w:sz="6" w:space="0"/>
            </w:tcBorders>
            <w:shd w:val="solid" w:color="FFFFFF" w:fill="auto"/>
            <w:vAlign w:val="center"/>
          </w:tcPr>
          <w:p>
            <w:pPr>
              <w:widowControl/>
              <w:shd w:val="solid" w:color="FFFFFF" w:fill="auto"/>
              <w:autoSpaceDN w:val="0"/>
              <w:adjustRightInd w:val="0"/>
              <w:snapToGrid w:val="0"/>
              <w:spacing w:line="360" w:lineRule="auto"/>
              <w:jc w:val="center"/>
              <w:rPr>
                <w:rFonts w:ascii="Calibri" w:hAnsi="Calibri" w:eastAsia="宋体" w:cs="Times New Roman"/>
                <w:kern w:val="0"/>
                <w:szCs w:val="24"/>
                <w:shd w:val="clear" w:color="auto" w:fill="FFFFFF"/>
              </w:rPr>
            </w:pPr>
            <w:r>
              <w:rPr>
                <w:rFonts w:ascii="Calibri" w:hAnsi="Calibri" w:eastAsia="宋体" w:cs="Times New Roman"/>
                <w:szCs w:val="24"/>
              </w:rPr>
              <w:t>引进或培养专业带头人</w:t>
            </w:r>
          </w:p>
        </w:tc>
        <w:tc>
          <w:tcPr>
            <w:tcW w:w="1313" w:type="dxa"/>
            <w:tcBorders>
              <w:top w:val="outset" w:color="000000" w:sz="6" w:space="0"/>
              <w:left w:val="outset" w:color="000000" w:sz="6" w:space="0"/>
              <w:bottom w:val="outset" w:color="000000" w:sz="6" w:space="0"/>
              <w:right w:val="outset" w:color="000000" w:sz="6" w:space="0"/>
            </w:tcBorders>
            <w:shd w:val="solid" w:color="FFFFFF" w:fill="auto"/>
            <w:vAlign w:val="center"/>
          </w:tcPr>
          <w:p>
            <w:pPr>
              <w:widowControl/>
              <w:shd w:val="solid" w:color="FFFFFF" w:fill="auto"/>
              <w:autoSpaceDN w:val="0"/>
              <w:adjustRightInd w:val="0"/>
              <w:snapToGrid w:val="0"/>
              <w:spacing w:line="360" w:lineRule="auto"/>
              <w:jc w:val="center"/>
              <w:rPr>
                <w:rFonts w:ascii="Calibri" w:hAnsi="Calibri" w:eastAsia="宋体" w:cs="Times New Roman"/>
                <w:szCs w:val="24"/>
              </w:rPr>
            </w:pPr>
            <w:r>
              <w:rPr>
                <w:rFonts w:hint="eastAsia" w:ascii="Calibri" w:hAnsi="Calibri" w:eastAsia="宋体" w:cs="Times New Roman"/>
                <w:szCs w:val="24"/>
              </w:rPr>
              <w:t>0</w:t>
            </w:r>
          </w:p>
        </w:tc>
        <w:tc>
          <w:tcPr>
            <w:tcW w:w="1800" w:type="dxa"/>
            <w:tcBorders>
              <w:top w:val="outset" w:color="000000" w:sz="6" w:space="0"/>
              <w:left w:val="outset" w:color="000000" w:sz="6" w:space="0"/>
              <w:bottom w:val="outset" w:color="000000" w:sz="6" w:space="0"/>
              <w:right w:val="outset" w:color="000000" w:sz="6" w:space="0"/>
            </w:tcBorders>
            <w:shd w:val="solid" w:color="FFFFFF" w:fill="auto"/>
            <w:vAlign w:val="center"/>
          </w:tcPr>
          <w:p>
            <w:pPr>
              <w:widowControl/>
              <w:shd w:val="solid" w:color="FFFFFF" w:fill="auto"/>
              <w:autoSpaceDN w:val="0"/>
              <w:adjustRightInd w:val="0"/>
              <w:snapToGrid w:val="0"/>
              <w:spacing w:line="360" w:lineRule="auto"/>
              <w:ind w:firstLine="840" w:firstLineChars="400"/>
              <w:rPr>
                <w:rFonts w:ascii="Calibri" w:hAnsi="Calibri" w:eastAsia="宋体" w:cs="Times New Roman"/>
                <w:kern w:val="0"/>
                <w:szCs w:val="24"/>
                <w:shd w:val="clear" w:color="auto" w:fill="FFFFFF"/>
              </w:rPr>
            </w:pPr>
            <w:r>
              <w:rPr>
                <w:rFonts w:hint="eastAsia" w:ascii="Calibri" w:hAnsi="Calibri" w:eastAsia="宋体" w:cs="Times New Roman"/>
                <w:kern w:val="0"/>
                <w:szCs w:val="24"/>
                <w:shd w:val="clear" w:color="auto" w:fill="FFFFFF"/>
              </w:rPr>
              <w:t>1</w:t>
            </w:r>
          </w:p>
        </w:tc>
        <w:tc>
          <w:tcPr>
            <w:tcW w:w="1620" w:type="dxa"/>
            <w:tcBorders>
              <w:top w:val="outset" w:color="000000" w:sz="6" w:space="0"/>
              <w:left w:val="outset" w:color="000000" w:sz="6" w:space="0"/>
              <w:bottom w:val="outset" w:color="000000" w:sz="6" w:space="0"/>
              <w:right w:val="outset" w:color="000000" w:sz="6" w:space="0"/>
            </w:tcBorders>
            <w:shd w:val="solid" w:color="FFFFFF" w:fill="auto"/>
            <w:vAlign w:val="center"/>
          </w:tcPr>
          <w:p>
            <w:pPr>
              <w:widowControl/>
              <w:shd w:val="solid" w:color="FFFFFF" w:fill="auto"/>
              <w:autoSpaceDN w:val="0"/>
              <w:adjustRightInd w:val="0"/>
              <w:snapToGrid w:val="0"/>
              <w:spacing w:line="360" w:lineRule="auto"/>
              <w:jc w:val="center"/>
              <w:rPr>
                <w:rFonts w:ascii="Calibri" w:hAnsi="Calibri" w:eastAsia="宋体" w:cs="Times New Roman"/>
                <w:kern w:val="0"/>
                <w:szCs w:val="24"/>
                <w:shd w:val="clear" w:color="auto" w:fill="FFFFFF"/>
              </w:rPr>
            </w:pPr>
            <w:r>
              <w:rPr>
                <w:rFonts w:hint="eastAsia" w:ascii="Calibri" w:hAnsi="Calibri" w:eastAsia="宋体" w:cs="Times New Roman"/>
                <w:kern w:val="0"/>
                <w:szCs w:val="24"/>
                <w:shd w:val="clear" w:color="auto" w:fill="FFFFFF"/>
              </w:rPr>
              <w:t>1</w:t>
            </w:r>
          </w:p>
        </w:tc>
        <w:tc>
          <w:tcPr>
            <w:tcW w:w="1620" w:type="dxa"/>
            <w:tcBorders>
              <w:top w:val="outset" w:color="000000" w:sz="6" w:space="0"/>
              <w:left w:val="outset" w:color="000000" w:sz="6" w:space="0"/>
              <w:bottom w:val="outset" w:color="000000" w:sz="6" w:space="0"/>
            </w:tcBorders>
            <w:shd w:val="solid" w:color="FFFFFF" w:fill="auto"/>
            <w:vAlign w:val="center"/>
          </w:tcPr>
          <w:p>
            <w:pPr>
              <w:widowControl/>
              <w:shd w:val="solid" w:color="FFFFFF" w:fill="auto"/>
              <w:autoSpaceDN w:val="0"/>
              <w:adjustRightInd w:val="0"/>
              <w:snapToGrid w:val="0"/>
              <w:spacing w:line="360" w:lineRule="auto"/>
              <w:jc w:val="center"/>
              <w:rPr>
                <w:rFonts w:ascii="Calibri" w:hAnsi="Calibri" w:eastAsia="宋体" w:cs="Times New Roman"/>
                <w:kern w:val="0"/>
                <w:szCs w:val="24"/>
                <w:shd w:val="clear" w:color="auto" w:fill="FFFFFF"/>
              </w:rPr>
            </w:pPr>
            <w:r>
              <w:rPr>
                <w:rFonts w:hint="eastAsia" w:ascii="Calibri" w:hAnsi="Calibri" w:eastAsia="宋体" w:cs="Times New Roman"/>
                <w:kern w:val="0"/>
                <w:szCs w:val="24"/>
                <w:shd w:val="clear" w:color="auto" w:fill="FFFFFF"/>
              </w:rPr>
              <w:t>1</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c>
          <w:tcPr>
            <w:tcW w:w="2520" w:type="dxa"/>
            <w:tcBorders>
              <w:top w:val="outset" w:color="000000" w:sz="6" w:space="0"/>
              <w:bottom w:val="outset" w:color="000000" w:sz="6" w:space="0"/>
              <w:right w:val="outset" w:color="000000" w:sz="6" w:space="0"/>
            </w:tcBorders>
            <w:shd w:val="solid" w:color="FFFFFF" w:fill="auto"/>
            <w:vAlign w:val="center"/>
          </w:tcPr>
          <w:p>
            <w:pPr>
              <w:widowControl/>
              <w:shd w:val="solid" w:color="FFFFFF" w:fill="auto"/>
              <w:autoSpaceDN w:val="0"/>
              <w:adjustRightInd w:val="0"/>
              <w:snapToGrid w:val="0"/>
              <w:spacing w:line="360" w:lineRule="auto"/>
              <w:jc w:val="center"/>
              <w:rPr>
                <w:rFonts w:ascii="Calibri" w:hAnsi="Calibri" w:eastAsia="宋体" w:cs="Times New Roman"/>
                <w:kern w:val="0"/>
                <w:szCs w:val="24"/>
                <w:shd w:val="clear" w:color="auto" w:fill="FFFFFF"/>
              </w:rPr>
            </w:pPr>
            <w:r>
              <w:rPr>
                <w:rFonts w:ascii="Calibri" w:hAnsi="Calibri" w:eastAsia="宋体" w:cs="Times New Roman"/>
                <w:szCs w:val="24"/>
              </w:rPr>
              <w:t>引进或培养骨干教师</w:t>
            </w:r>
          </w:p>
        </w:tc>
        <w:tc>
          <w:tcPr>
            <w:tcW w:w="1313" w:type="dxa"/>
            <w:tcBorders>
              <w:top w:val="outset" w:color="000000" w:sz="6" w:space="0"/>
              <w:left w:val="outset" w:color="000000" w:sz="6" w:space="0"/>
              <w:bottom w:val="outset" w:color="000000" w:sz="6" w:space="0"/>
              <w:right w:val="outset" w:color="000000" w:sz="6" w:space="0"/>
            </w:tcBorders>
            <w:shd w:val="solid" w:color="FFFFFF" w:fill="auto"/>
            <w:vAlign w:val="center"/>
          </w:tcPr>
          <w:p>
            <w:pPr>
              <w:widowControl/>
              <w:shd w:val="solid" w:color="FFFFFF" w:fill="auto"/>
              <w:autoSpaceDN w:val="0"/>
              <w:adjustRightInd w:val="0"/>
              <w:snapToGrid w:val="0"/>
              <w:spacing w:line="360" w:lineRule="auto"/>
              <w:jc w:val="center"/>
              <w:rPr>
                <w:rFonts w:ascii="Calibri" w:hAnsi="Calibri" w:eastAsia="宋体" w:cs="Times New Roman"/>
                <w:szCs w:val="24"/>
              </w:rPr>
            </w:pPr>
            <w:r>
              <w:rPr>
                <w:rFonts w:hint="eastAsia" w:ascii="Calibri" w:hAnsi="Calibri" w:eastAsia="宋体" w:cs="Times New Roman"/>
                <w:szCs w:val="24"/>
              </w:rPr>
              <w:t>2</w:t>
            </w:r>
          </w:p>
        </w:tc>
        <w:tc>
          <w:tcPr>
            <w:tcW w:w="1800" w:type="dxa"/>
            <w:tcBorders>
              <w:top w:val="outset" w:color="000000" w:sz="6" w:space="0"/>
              <w:left w:val="outset" w:color="000000" w:sz="6" w:space="0"/>
              <w:bottom w:val="outset" w:color="000000" w:sz="6" w:space="0"/>
              <w:right w:val="outset" w:color="000000" w:sz="6" w:space="0"/>
            </w:tcBorders>
            <w:shd w:val="solid" w:color="FFFFFF" w:fill="auto"/>
            <w:vAlign w:val="center"/>
          </w:tcPr>
          <w:p>
            <w:pPr>
              <w:widowControl/>
              <w:shd w:val="solid" w:color="FFFFFF" w:fill="auto"/>
              <w:autoSpaceDN w:val="0"/>
              <w:adjustRightInd w:val="0"/>
              <w:snapToGrid w:val="0"/>
              <w:spacing w:line="360" w:lineRule="auto"/>
              <w:jc w:val="center"/>
              <w:rPr>
                <w:rFonts w:ascii="Calibri" w:hAnsi="Calibri" w:eastAsia="宋体" w:cs="Times New Roman"/>
                <w:kern w:val="0"/>
                <w:szCs w:val="24"/>
                <w:shd w:val="clear" w:color="auto" w:fill="FFFFFF"/>
              </w:rPr>
            </w:pPr>
            <w:r>
              <w:rPr>
                <w:rFonts w:hint="eastAsia" w:ascii="Calibri" w:hAnsi="Calibri" w:eastAsia="宋体" w:cs="Times New Roman"/>
                <w:kern w:val="0"/>
                <w:szCs w:val="24"/>
                <w:shd w:val="clear" w:color="auto" w:fill="FFFFFF"/>
              </w:rPr>
              <w:t>2</w:t>
            </w:r>
          </w:p>
        </w:tc>
        <w:tc>
          <w:tcPr>
            <w:tcW w:w="1620" w:type="dxa"/>
            <w:tcBorders>
              <w:top w:val="outset" w:color="000000" w:sz="6" w:space="0"/>
              <w:left w:val="outset" w:color="000000" w:sz="6" w:space="0"/>
              <w:bottom w:val="outset" w:color="000000" w:sz="6" w:space="0"/>
              <w:right w:val="outset" w:color="000000" w:sz="6" w:space="0"/>
            </w:tcBorders>
            <w:shd w:val="solid" w:color="FFFFFF" w:fill="auto"/>
            <w:vAlign w:val="center"/>
          </w:tcPr>
          <w:p>
            <w:pPr>
              <w:widowControl/>
              <w:shd w:val="solid" w:color="FFFFFF" w:fill="auto"/>
              <w:autoSpaceDN w:val="0"/>
              <w:adjustRightInd w:val="0"/>
              <w:snapToGrid w:val="0"/>
              <w:spacing w:line="360" w:lineRule="auto"/>
              <w:jc w:val="center"/>
              <w:rPr>
                <w:rFonts w:ascii="Calibri" w:hAnsi="Calibri" w:eastAsia="宋体" w:cs="Times New Roman"/>
                <w:kern w:val="0"/>
                <w:szCs w:val="24"/>
                <w:shd w:val="clear" w:color="auto" w:fill="FFFFFF"/>
              </w:rPr>
            </w:pPr>
            <w:r>
              <w:rPr>
                <w:rFonts w:hint="eastAsia" w:ascii="Calibri" w:hAnsi="Calibri" w:eastAsia="宋体" w:cs="Times New Roman"/>
                <w:kern w:val="0"/>
                <w:szCs w:val="24"/>
                <w:shd w:val="clear" w:color="auto" w:fill="FFFFFF"/>
              </w:rPr>
              <w:t>3</w:t>
            </w:r>
          </w:p>
        </w:tc>
        <w:tc>
          <w:tcPr>
            <w:tcW w:w="1620" w:type="dxa"/>
            <w:tcBorders>
              <w:top w:val="outset" w:color="000000" w:sz="6" w:space="0"/>
              <w:left w:val="outset" w:color="000000" w:sz="6" w:space="0"/>
              <w:bottom w:val="outset" w:color="000000" w:sz="6" w:space="0"/>
            </w:tcBorders>
            <w:shd w:val="solid" w:color="FFFFFF" w:fill="auto"/>
            <w:vAlign w:val="center"/>
          </w:tcPr>
          <w:p>
            <w:pPr>
              <w:widowControl/>
              <w:shd w:val="solid" w:color="FFFFFF" w:fill="auto"/>
              <w:autoSpaceDN w:val="0"/>
              <w:adjustRightInd w:val="0"/>
              <w:snapToGrid w:val="0"/>
              <w:spacing w:line="360" w:lineRule="auto"/>
              <w:jc w:val="center"/>
              <w:rPr>
                <w:rFonts w:ascii="Calibri" w:hAnsi="Calibri" w:eastAsia="宋体" w:cs="Times New Roman"/>
                <w:kern w:val="0"/>
                <w:szCs w:val="24"/>
                <w:shd w:val="clear" w:color="auto" w:fill="FFFFFF"/>
              </w:rPr>
            </w:pPr>
            <w:r>
              <w:rPr>
                <w:rFonts w:hint="eastAsia" w:ascii="Calibri" w:hAnsi="Calibri" w:eastAsia="宋体" w:cs="Times New Roman"/>
                <w:kern w:val="0"/>
                <w:szCs w:val="24"/>
                <w:shd w:val="clear" w:color="auto" w:fill="FFFFFF"/>
              </w:rPr>
              <w:t>3</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c>
          <w:tcPr>
            <w:tcW w:w="2520" w:type="dxa"/>
            <w:tcBorders>
              <w:top w:val="outset" w:color="000000" w:sz="6" w:space="0"/>
              <w:bottom w:val="outset" w:color="000000" w:sz="6" w:space="0"/>
              <w:right w:val="outset" w:color="000000" w:sz="6" w:space="0"/>
            </w:tcBorders>
            <w:shd w:val="solid" w:color="FFFFFF" w:fill="auto"/>
            <w:vAlign w:val="center"/>
          </w:tcPr>
          <w:p>
            <w:pPr>
              <w:widowControl/>
              <w:shd w:val="solid" w:color="FFFFFF" w:fill="auto"/>
              <w:autoSpaceDN w:val="0"/>
              <w:adjustRightInd w:val="0"/>
              <w:snapToGrid w:val="0"/>
              <w:spacing w:line="360" w:lineRule="auto"/>
              <w:jc w:val="center"/>
              <w:rPr>
                <w:rFonts w:ascii="Calibri" w:hAnsi="Calibri" w:eastAsia="宋体" w:cs="Times New Roman"/>
                <w:kern w:val="0"/>
                <w:szCs w:val="24"/>
                <w:shd w:val="clear" w:color="auto" w:fill="FFFFFF"/>
              </w:rPr>
            </w:pPr>
            <w:r>
              <w:rPr>
                <w:rFonts w:ascii="Calibri" w:hAnsi="Calibri" w:eastAsia="宋体" w:cs="Times New Roman"/>
                <w:szCs w:val="24"/>
              </w:rPr>
              <w:t>聘请兼职教师</w:t>
            </w:r>
          </w:p>
        </w:tc>
        <w:tc>
          <w:tcPr>
            <w:tcW w:w="1313" w:type="dxa"/>
            <w:tcBorders>
              <w:top w:val="outset" w:color="000000" w:sz="6" w:space="0"/>
              <w:left w:val="outset" w:color="000000" w:sz="6" w:space="0"/>
              <w:bottom w:val="outset" w:color="000000" w:sz="6" w:space="0"/>
              <w:right w:val="outset" w:color="000000" w:sz="6" w:space="0"/>
            </w:tcBorders>
            <w:shd w:val="solid" w:color="FFFFFF" w:fill="auto"/>
            <w:vAlign w:val="center"/>
          </w:tcPr>
          <w:p>
            <w:pPr>
              <w:widowControl/>
              <w:shd w:val="solid" w:color="FFFFFF" w:fill="auto"/>
              <w:autoSpaceDN w:val="0"/>
              <w:adjustRightInd w:val="0"/>
              <w:snapToGrid w:val="0"/>
              <w:spacing w:line="360" w:lineRule="auto"/>
              <w:jc w:val="center"/>
              <w:rPr>
                <w:rFonts w:ascii="Calibri" w:hAnsi="Calibri" w:eastAsia="宋体" w:cs="Times New Roman"/>
                <w:szCs w:val="24"/>
              </w:rPr>
            </w:pPr>
            <w:r>
              <w:rPr>
                <w:rFonts w:hint="eastAsia" w:ascii="Calibri" w:hAnsi="Calibri" w:eastAsia="宋体" w:cs="Times New Roman"/>
                <w:szCs w:val="24"/>
              </w:rPr>
              <w:t>0</w:t>
            </w:r>
          </w:p>
        </w:tc>
        <w:tc>
          <w:tcPr>
            <w:tcW w:w="1800" w:type="dxa"/>
            <w:tcBorders>
              <w:top w:val="outset" w:color="000000" w:sz="6" w:space="0"/>
              <w:left w:val="outset" w:color="000000" w:sz="6" w:space="0"/>
              <w:bottom w:val="outset" w:color="000000" w:sz="6" w:space="0"/>
              <w:right w:val="outset" w:color="000000" w:sz="6" w:space="0"/>
            </w:tcBorders>
            <w:shd w:val="solid" w:color="FFFFFF" w:fill="auto"/>
            <w:vAlign w:val="center"/>
          </w:tcPr>
          <w:p>
            <w:pPr>
              <w:widowControl/>
              <w:shd w:val="solid" w:color="FFFFFF" w:fill="auto"/>
              <w:autoSpaceDN w:val="0"/>
              <w:adjustRightInd w:val="0"/>
              <w:snapToGrid w:val="0"/>
              <w:spacing w:line="360" w:lineRule="auto"/>
              <w:jc w:val="center"/>
              <w:rPr>
                <w:rFonts w:ascii="Calibri" w:hAnsi="Calibri" w:eastAsia="宋体" w:cs="Times New Roman"/>
                <w:kern w:val="0"/>
                <w:szCs w:val="24"/>
                <w:shd w:val="clear" w:color="auto" w:fill="FFFFFF"/>
              </w:rPr>
            </w:pPr>
            <w:r>
              <w:rPr>
                <w:rFonts w:hint="eastAsia" w:ascii="Calibri" w:hAnsi="Calibri" w:eastAsia="宋体" w:cs="Times New Roman"/>
                <w:kern w:val="0"/>
                <w:szCs w:val="24"/>
                <w:shd w:val="clear" w:color="auto" w:fill="FFFFFF"/>
              </w:rPr>
              <w:t>1</w:t>
            </w:r>
          </w:p>
        </w:tc>
        <w:tc>
          <w:tcPr>
            <w:tcW w:w="1620" w:type="dxa"/>
            <w:tcBorders>
              <w:top w:val="outset" w:color="000000" w:sz="6" w:space="0"/>
              <w:left w:val="outset" w:color="000000" w:sz="6" w:space="0"/>
              <w:bottom w:val="outset" w:color="000000" w:sz="6" w:space="0"/>
              <w:right w:val="outset" w:color="000000" w:sz="6" w:space="0"/>
            </w:tcBorders>
            <w:shd w:val="solid" w:color="FFFFFF" w:fill="auto"/>
            <w:vAlign w:val="center"/>
          </w:tcPr>
          <w:p>
            <w:pPr>
              <w:widowControl/>
              <w:shd w:val="solid" w:color="FFFFFF" w:fill="auto"/>
              <w:autoSpaceDN w:val="0"/>
              <w:adjustRightInd w:val="0"/>
              <w:snapToGrid w:val="0"/>
              <w:spacing w:line="360" w:lineRule="auto"/>
              <w:jc w:val="center"/>
              <w:rPr>
                <w:rFonts w:ascii="Calibri" w:hAnsi="Calibri" w:eastAsia="宋体" w:cs="Times New Roman"/>
                <w:kern w:val="0"/>
                <w:szCs w:val="24"/>
                <w:shd w:val="clear" w:color="auto" w:fill="FFFFFF"/>
              </w:rPr>
            </w:pPr>
            <w:r>
              <w:rPr>
                <w:rFonts w:hint="eastAsia" w:ascii="Calibri" w:hAnsi="Calibri" w:eastAsia="宋体" w:cs="Times New Roman"/>
                <w:kern w:val="0"/>
                <w:szCs w:val="24"/>
                <w:shd w:val="clear" w:color="auto" w:fill="FFFFFF"/>
              </w:rPr>
              <w:t>2</w:t>
            </w:r>
          </w:p>
        </w:tc>
        <w:tc>
          <w:tcPr>
            <w:tcW w:w="1620" w:type="dxa"/>
            <w:tcBorders>
              <w:top w:val="outset" w:color="000000" w:sz="6" w:space="0"/>
              <w:left w:val="outset" w:color="000000" w:sz="6" w:space="0"/>
              <w:bottom w:val="outset" w:color="000000" w:sz="6" w:space="0"/>
            </w:tcBorders>
            <w:shd w:val="solid" w:color="FFFFFF" w:fill="auto"/>
            <w:vAlign w:val="center"/>
          </w:tcPr>
          <w:p>
            <w:pPr>
              <w:widowControl/>
              <w:shd w:val="solid" w:color="FFFFFF" w:fill="auto"/>
              <w:autoSpaceDN w:val="0"/>
              <w:adjustRightInd w:val="0"/>
              <w:snapToGrid w:val="0"/>
              <w:spacing w:line="360" w:lineRule="auto"/>
              <w:jc w:val="center"/>
              <w:rPr>
                <w:rFonts w:ascii="Calibri" w:hAnsi="Calibri" w:eastAsia="宋体" w:cs="Times New Roman"/>
                <w:kern w:val="0"/>
                <w:szCs w:val="24"/>
                <w:shd w:val="clear" w:color="auto" w:fill="FFFFFF"/>
              </w:rPr>
            </w:pPr>
            <w:r>
              <w:rPr>
                <w:rFonts w:hint="eastAsia" w:ascii="Calibri" w:hAnsi="Calibri" w:eastAsia="宋体" w:cs="Times New Roman"/>
                <w:kern w:val="0"/>
                <w:szCs w:val="24"/>
                <w:shd w:val="clear" w:color="auto" w:fill="FFFFFF"/>
              </w:rPr>
              <w:t>2</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c>
          <w:tcPr>
            <w:tcW w:w="2520" w:type="dxa"/>
            <w:tcBorders>
              <w:top w:val="outset" w:color="000000" w:sz="6" w:space="0"/>
              <w:bottom w:val="outset" w:color="000000" w:sz="6" w:space="0"/>
              <w:right w:val="outset" w:color="000000" w:sz="6" w:space="0"/>
            </w:tcBorders>
            <w:shd w:val="solid" w:color="FFFFFF" w:fill="auto"/>
            <w:vAlign w:val="center"/>
          </w:tcPr>
          <w:p>
            <w:pPr>
              <w:widowControl/>
              <w:shd w:val="solid" w:color="FFFFFF" w:fill="auto"/>
              <w:autoSpaceDN w:val="0"/>
              <w:adjustRightInd w:val="0"/>
              <w:snapToGrid w:val="0"/>
              <w:spacing w:line="360" w:lineRule="auto"/>
              <w:jc w:val="center"/>
              <w:rPr>
                <w:rFonts w:ascii="Calibri" w:hAnsi="Calibri" w:eastAsia="宋体" w:cs="Times New Roman"/>
                <w:szCs w:val="24"/>
              </w:rPr>
            </w:pPr>
            <w:r>
              <w:rPr>
                <w:rFonts w:ascii="Calibri" w:hAnsi="Calibri" w:eastAsia="宋体" w:cs="Times New Roman"/>
                <w:szCs w:val="24"/>
              </w:rPr>
              <w:t>双师素质教师</w:t>
            </w:r>
          </w:p>
        </w:tc>
        <w:tc>
          <w:tcPr>
            <w:tcW w:w="1313" w:type="dxa"/>
            <w:tcBorders>
              <w:top w:val="outset" w:color="000000" w:sz="6" w:space="0"/>
              <w:left w:val="outset" w:color="000000" w:sz="6" w:space="0"/>
              <w:bottom w:val="outset" w:color="000000" w:sz="6" w:space="0"/>
              <w:right w:val="outset" w:color="000000" w:sz="6" w:space="0"/>
            </w:tcBorders>
            <w:shd w:val="solid" w:color="FFFFFF" w:fill="auto"/>
            <w:vAlign w:val="center"/>
          </w:tcPr>
          <w:p>
            <w:pPr>
              <w:widowControl/>
              <w:shd w:val="solid" w:color="FFFFFF" w:fill="auto"/>
              <w:autoSpaceDN w:val="0"/>
              <w:adjustRightInd w:val="0"/>
              <w:snapToGrid w:val="0"/>
              <w:spacing w:line="360" w:lineRule="auto"/>
              <w:jc w:val="center"/>
              <w:rPr>
                <w:rFonts w:ascii="Calibri" w:hAnsi="Calibri" w:eastAsia="宋体" w:cs="Times New Roman"/>
                <w:szCs w:val="24"/>
              </w:rPr>
            </w:pPr>
            <w:r>
              <w:rPr>
                <w:rFonts w:hint="eastAsia" w:ascii="Calibri" w:hAnsi="Calibri" w:eastAsia="宋体" w:cs="Times New Roman"/>
                <w:szCs w:val="24"/>
              </w:rPr>
              <w:t>3</w:t>
            </w:r>
          </w:p>
        </w:tc>
        <w:tc>
          <w:tcPr>
            <w:tcW w:w="1800" w:type="dxa"/>
            <w:tcBorders>
              <w:top w:val="outset" w:color="000000" w:sz="6" w:space="0"/>
              <w:left w:val="outset" w:color="000000" w:sz="6" w:space="0"/>
              <w:bottom w:val="outset" w:color="000000" w:sz="6" w:space="0"/>
              <w:right w:val="outset" w:color="000000" w:sz="6" w:space="0"/>
            </w:tcBorders>
            <w:shd w:val="solid" w:color="FFFFFF" w:fill="auto"/>
            <w:vAlign w:val="center"/>
          </w:tcPr>
          <w:p>
            <w:pPr>
              <w:widowControl/>
              <w:shd w:val="solid" w:color="FFFFFF" w:fill="auto"/>
              <w:autoSpaceDN w:val="0"/>
              <w:adjustRightInd w:val="0"/>
              <w:snapToGrid w:val="0"/>
              <w:spacing w:line="360" w:lineRule="auto"/>
              <w:jc w:val="center"/>
              <w:rPr>
                <w:rFonts w:ascii="Calibri" w:hAnsi="Calibri" w:eastAsia="宋体" w:cs="Times New Roman"/>
                <w:kern w:val="0"/>
                <w:szCs w:val="24"/>
                <w:shd w:val="clear" w:color="auto" w:fill="FFFFFF"/>
              </w:rPr>
            </w:pPr>
            <w:r>
              <w:rPr>
                <w:rFonts w:hint="eastAsia" w:ascii="Calibri" w:hAnsi="Calibri" w:eastAsia="宋体" w:cs="Times New Roman"/>
                <w:kern w:val="0"/>
                <w:szCs w:val="24"/>
                <w:shd w:val="clear" w:color="auto" w:fill="FFFFFF"/>
              </w:rPr>
              <w:t>3</w:t>
            </w:r>
          </w:p>
        </w:tc>
        <w:tc>
          <w:tcPr>
            <w:tcW w:w="1620" w:type="dxa"/>
            <w:tcBorders>
              <w:top w:val="outset" w:color="000000" w:sz="6" w:space="0"/>
              <w:left w:val="outset" w:color="000000" w:sz="6" w:space="0"/>
              <w:bottom w:val="outset" w:color="000000" w:sz="6" w:space="0"/>
              <w:right w:val="outset" w:color="000000" w:sz="6" w:space="0"/>
            </w:tcBorders>
            <w:shd w:val="solid" w:color="FFFFFF" w:fill="auto"/>
            <w:vAlign w:val="center"/>
          </w:tcPr>
          <w:p>
            <w:pPr>
              <w:widowControl/>
              <w:shd w:val="solid" w:color="FFFFFF" w:fill="auto"/>
              <w:autoSpaceDN w:val="0"/>
              <w:adjustRightInd w:val="0"/>
              <w:snapToGrid w:val="0"/>
              <w:spacing w:line="360" w:lineRule="auto"/>
              <w:jc w:val="center"/>
              <w:rPr>
                <w:rFonts w:ascii="Calibri" w:hAnsi="Calibri" w:eastAsia="宋体" w:cs="Times New Roman"/>
                <w:kern w:val="0"/>
                <w:szCs w:val="24"/>
                <w:shd w:val="clear" w:color="auto" w:fill="FFFFFF"/>
              </w:rPr>
            </w:pPr>
            <w:r>
              <w:rPr>
                <w:rFonts w:hint="eastAsia" w:ascii="Calibri" w:hAnsi="Calibri" w:eastAsia="宋体" w:cs="Times New Roman"/>
                <w:kern w:val="0"/>
                <w:szCs w:val="24"/>
                <w:shd w:val="clear" w:color="auto" w:fill="FFFFFF"/>
              </w:rPr>
              <w:t>4</w:t>
            </w:r>
          </w:p>
        </w:tc>
        <w:tc>
          <w:tcPr>
            <w:tcW w:w="1620" w:type="dxa"/>
            <w:tcBorders>
              <w:top w:val="outset" w:color="000000" w:sz="6" w:space="0"/>
              <w:left w:val="outset" w:color="000000" w:sz="6" w:space="0"/>
              <w:bottom w:val="outset" w:color="000000" w:sz="6" w:space="0"/>
            </w:tcBorders>
            <w:shd w:val="solid" w:color="FFFFFF" w:fill="auto"/>
            <w:vAlign w:val="center"/>
          </w:tcPr>
          <w:p>
            <w:pPr>
              <w:widowControl/>
              <w:shd w:val="solid" w:color="FFFFFF" w:fill="auto"/>
              <w:autoSpaceDN w:val="0"/>
              <w:adjustRightInd w:val="0"/>
              <w:snapToGrid w:val="0"/>
              <w:spacing w:line="360" w:lineRule="auto"/>
              <w:jc w:val="center"/>
              <w:rPr>
                <w:rFonts w:ascii="Calibri" w:hAnsi="Calibri" w:eastAsia="宋体" w:cs="Times New Roman"/>
                <w:kern w:val="0"/>
                <w:szCs w:val="24"/>
                <w:shd w:val="clear" w:color="auto" w:fill="FFFFFF"/>
              </w:rPr>
            </w:pPr>
            <w:r>
              <w:rPr>
                <w:rFonts w:hint="eastAsia" w:ascii="Calibri" w:hAnsi="Calibri" w:eastAsia="宋体" w:cs="Times New Roman"/>
                <w:kern w:val="0"/>
                <w:szCs w:val="24"/>
                <w:shd w:val="clear" w:color="auto" w:fill="FFFFFF"/>
              </w:rPr>
              <w:t>4</w:t>
            </w:r>
          </w:p>
        </w:tc>
      </w:tr>
    </w:tbl>
    <w:p>
      <w:pPr>
        <w:widowControl/>
        <w:spacing w:before="156" w:beforeLines="50" w:line="360" w:lineRule="auto"/>
        <w:jc w:val="left"/>
        <w:rPr>
          <w:rFonts w:ascii="宋体" w:hAnsi="宋体" w:eastAsia="宋体" w:cs="Times New Roman"/>
          <w:b/>
          <w:sz w:val="24"/>
          <w:szCs w:val="24"/>
        </w:rPr>
      </w:pPr>
      <w:bookmarkStart w:id="1" w:name="_Hlk74667864"/>
      <w:bookmarkStart w:id="2" w:name="_Hlk74667519"/>
      <w:r>
        <w:rPr>
          <w:rFonts w:hint="eastAsia" w:ascii="宋体" w:hAnsi="宋体" w:eastAsia="宋体" w:cs="Times New Roman"/>
          <w:b/>
          <w:sz w:val="24"/>
          <w:szCs w:val="24"/>
        </w:rPr>
        <w:t>（三）提升师资开展教科研水平， 大力推动教研科研建设</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教师要有厚实的专业底蕴，强烈的事业心，还要求有较强的科研能力和科研实践。实践证明，具有一定科研实践的教师，其讲课很少是照本宣科式的单纯传授与灌输。教师通过教研及科研工作，将研究成果带进了课堂，丰富了教学内容，将大大调动学生学习的兴趣，接近理论知识与实际应用的距离，教学相长，促进了专业建设，使专业发展走在学术发展的前沿。</w:t>
      </w:r>
    </w:p>
    <w:p>
      <w:pPr>
        <w:spacing w:line="360" w:lineRule="auto"/>
        <w:rPr>
          <w:rFonts w:ascii="宋体" w:hAnsi="宋体" w:eastAsia="宋体" w:cs="Times New Roman"/>
          <w:sz w:val="24"/>
          <w:szCs w:val="24"/>
        </w:rPr>
      </w:pPr>
      <w:r>
        <w:rPr>
          <w:rFonts w:hint="eastAsia" w:ascii="宋体" w:hAnsi="宋体" w:eastAsia="宋体" w:cs="Times New Roman"/>
          <w:sz w:val="24"/>
          <w:szCs w:val="24"/>
        </w:rPr>
        <w:t>（1）鼓励支持教师围绕教学开展教研和科研工作，以课程建设和学科建设推动专业建设。为支持老师进行学术活动，积极支持教师申报各种组织的教研科研课题。</w:t>
      </w:r>
    </w:p>
    <w:p>
      <w:pPr>
        <w:spacing w:line="360" w:lineRule="auto"/>
        <w:rPr>
          <w:rFonts w:ascii="宋体" w:hAnsi="宋体" w:eastAsia="宋体" w:cs="Times New Roman"/>
          <w:sz w:val="24"/>
          <w:szCs w:val="24"/>
        </w:rPr>
      </w:pPr>
      <w:r>
        <w:rPr>
          <w:rFonts w:hint="eastAsia" w:ascii="宋体" w:hAnsi="宋体" w:eastAsia="宋体" w:cs="Times New Roman"/>
          <w:sz w:val="24"/>
          <w:szCs w:val="24"/>
        </w:rPr>
        <w:t>（2）根据教师自己所教授的课程或专业的需要，要求每位教师每学年至少完成一篇论文并发表，在项目经费中给予奖励。</w:t>
      </w:r>
    </w:p>
    <w:p>
      <w:pPr>
        <w:spacing w:line="360" w:lineRule="auto"/>
        <w:rPr>
          <w:rFonts w:ascii="宋体" w:hAnsi="宋体" w:eastAsia="宋体" w:cs="Times New Roman"/>
          <w:sz w:val="24"/>
          <w:szCs w:val="24"/>
        </w:rPr>
      </w:pPr>
      <w:r>
        <w:rPr>
          <w:rFonts w:hint="eastAsia" w:ascii="宋体" w:hAnsi="宋体" w:eastAsia="宋体" w:cs="Times New Roman"/>
          <w:sz w:val="24"/>
          <w:szCs w:val="24"/>
        </w:rPr>
        <w:t>（3）在经费有限的情况下，争取每年选派3-5名优秀教师参加有关学术会议，扩大学术视野，掌握学术动态。</w:t>
      </w:r>
    </w:p>
    <w:p>
      <w:pPr>
        <w:spacing w:line="360" w:lineRule="auto"/>
        <w:rPr>
          <w:rFonts w:ascii="宋体" w:hAnsi="宋体" w:eastAsia="宋体" w:cs="Times New Roman"/>
          <w:sz w:val="24"/>
          <w:szCs w:val="24"/>
        </w:rPr>
      </w:pPr>
      <w:r>
        <w:rPr>
          <w:rFonts w:hint="eastAsia" w:ascii="宋体" w:hAnsi="宋体" w:eastAsia="宋体" w:cs="Times New Roman"/>
          <w:sz w:val="24"/>
          <w:szCs w:val="24"/>
        </w:rPr>
        <w:t>（4）每学期有计划、有侧重地聘请外校著名专家、学者来校开展系列学术讲座。同时，也尽量利用学院现有学术资源，动员系内教师多开讲座。</w:t>
      </w:r>
    </w:p>
    <w:p>
      <w:pPr>
        <w:spacing w:line="360" w:lineRule="auto"/>
        <w:rPr>
          <w:rFonts w:ascii="宋体" w:hAnsi="宋体" w:eastAsia="宋体" w:cs="Times New Roman"/>
          <w:sz w:val="24"/>
          <w:szCs w:val="24"/>
        </w:rPr>
      </w:pPr>
      <w:r>
        <w:rPr>
          <w:rFonts w:hint="eastAsia" w:ascii="宋体" w:hAnsi="宋体" w:eastAsia="宋体" w:cs="Times New Roman"/>
          <w:sz w:val="24"/>
          <w:szCs w:val="24"/>
        </w:rPr>
        <w:t>（5）积极申报院级以上的各种教学成果评比，凡获奖者给予一定的奖励。</w:t>
      </w:r>
    </w:p>
    <w:bookmarkEnd w:id="1"/>
    <w:p>
      <w:pPr>
        <w:widowControl/>
        <w:spacing w:before="156" w:beforeLines="50" w:line="360" w:lineRule="auto"/>
        <w:jc w:val="left"/>
        <w:rPr>
          <w:rFonts w:ascii="宋体" w:hAnsi="宋体" w:eastAsia="宋体" w:cs="Times New Roman"/>
          <w:b/>
          <w:sz w:val="24"/>
          <w:szCs w:val="24"/>
        </w:rPr>
      </w:pPr>
      <w:r>
        <w:rPr>
          <w:rFonts w:hint="eastAsia" w:ascii="宋体" w:hAnsi="宋体" w:eastAsia="宋体" w:cs="Times New Roman"/>
          <w:b/>
          <w:sz w:val="24"/>
          <w:szCs w:val="24"/>
        </w:rPr>
        <w:t>（四）</w:t>
      </w:r>
      <w:r>
        <w:rPr>
          <w:rFonts w:ascii="宋体" w:hAnsi="宋体" w:eastAsia="宋体" w:cs="Times New Roman"/>
          <w:b/>
          <w:sz w:val="24"/>
          <w:szCs w:val="24"/>
        </w:rPr>
        <w:t>建成融“教学、实训、培训、技能鉴定、技术服务”五位一体的校内外实训基地</w:t>
      </w:r>
    </w:p>
    <w:bookmarkEnd w:id="2"/>
    <w:p>
      <w:pPr>
        <w:spacing w:line="360" w:lineRule="auto"/>
        <w:ind w:firstLine="354" w:firstLineChars="147"/>
        <w:rPr>
          <w:rFonts w:ascii="宋体" w:hAnsi="宋体" w:eastAsia="宋体" w:cs="Times New Roman"/>
          <w:b/>
          <w:sz w:val="24"/>
          <w:szCs w:val="24"/>
        </w:rPr>
      </w:pPr>
      <w:r>
        <w:rPr>
          <w:rFonts w:hint="eastAsia" w:ascii="宋体" w:hAnsi="宋体" w:eastAsia="宋体" w:cs="Times New Roman"/>
          <w:b/>
          <w:sz w:val="24"/>
          <w:szCs w:val="24"/>
        </w:rPr>
        <w:t>1、实践基地建设功能</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开展工学结合人才培养模式中的课程实验、专业专项技术实训、专业综合技能实训、顶岗实习等实践教学。使学生在校期间完成上岗前的职业培训，实现由学生向具有实践工作能力的中药制药类相关企业员工的转换。</w:t>
      </w:r>
    </w:p>
    <w:p>
      <w:pPr>
        <w:spacing w:line="360" w:lineRule="auto"/>
        <w:ind w:firstLine="354" w:firstLineChars="147"/>
        <w:rPr>
          <w:rFonts w:ascii="宋体" w:hAnsi="宋体" w:eastAsia="宋体" w:cs="Times New Roman"/>
          <w:b/>
          <w:sz w:val="24"/>
          <w:szCs w:val="24"/>
        </w:rPr>
      </w:pPr>
      <w:r>
        <w:rPr>
          <w:rFonts w:hint="eastAsia" w:ascii="宋体" w:hAnsi="宋体" w:eastAsia="宋体" w:cs="Times New Roman"/>
          <w:b/>
          <w:sz w:val="24"/>
          <w:szCs w:val="24"/>
        </w:rPr>
        <w:t>2、校内实训基地</w:t>
      </w:r>
    </w:p>
    <w:p>
      <w:pPr>
        <w:spacing w:line="360" w:lineRule="auto"/>
        <w:ind w:firstLine="480"/>
        <w:rPr>
          <w:rFonts w:ascii="宋体" w:hAnsi="宋体" w:eastAsia="宋体" w:cs="Times New Roman"/>
          <w:b/>
          <w:sz w:val="24"/>
          <w:szCs w:val="24"/>
        </w:rPr>
      </w:pPr>
      <w:r>
        <w:rPr>
          <w:rFonts w:ascii="宋体" w:hAnsi="宋体" w:eastAsia="宋体" w:cs="Times New Roman"/>
          <w:b/>
          <w:sz w:val="24"/>
          <w:szCs w:val="24"/>
        </w:rPr>
        <w:fldChar w:fldCharType="begin"/>
      </w:r>
      <w:r>
        <w:rPr>
          <w:rFonts w:ascii="宋体" w:hAnsi="宋体" w:eastAsia="宋体" w:cs="Times New Roman"/>
          <w:b/>
          <w:sz w:val="24"/>
          <w:szCs w:val="24"/>
        </w:rPr>
        <w:instrText xml:space="preserve"> </w:instrText>
      </w:r>
      <w:r>
        <w:rPr>
          <w:rFonts w:hint="eastAsia" w:ascii="宋体" w:hAnsi="宋体" w:eastAsia="宋体" w:cs="Times New Roman"/>
          <w:b/>
          <w:sz w:val="24"/>
          <w:szCs w:val="24"/>
        </w:rPr>
        <w:instrText xml:space="preserve">= 1 \* GB3</w:instrText>
      </w:r>
      <w:r>
        <w:rPr>
          <w:rFonts w:ascii="宋体" w:hAnsi="宋体" w:eastAsia="宋体" w:cs="Times New Roman"/>
          <w:b/>
          <w:sz w:val="24"/>
          <w:szCs w:val="24"/>
        </w:rPr>
        <w:instrText xml:space="preserve"> </w:instrText>
      </w:r>
      <w:r>
        <w:rPr>
          <w:rFonts w:ascii="宋体" w:hAnsi="宋体" w:eastAsia="宋体" w:cs="Times New Roman"/>
          <w:b/>
          <w:sz w:val="24"/>
          <w:szCs w:val="24"/>
        </w:rPr>
        <w:fldChar w:fldCharType="separate"/>
      </w:r>
      <w:r>
        <w:rPr>
          <w:rFonts w:hint="eastAsia" w:ascii="宋体" w:hAnsi="宋体" w:eastAsia="宋体" w:cs="Times New Roman"/>
          <w:b/>
          <w:sz w:val="24"/>
          <w:szCs w:val="24"/>
        </w:rPr>
        <w:t>①</w:t>
      </w:r>
      <w:r>
        <w:rPr>
          <w:rFonts w:ascii="宋体" w:hAnsi="宋体" w:eastAsia="宋体" w:cs="Times New Roman"/>
          <w:b/>
          <w:sz w:val="24"/>
          <w:szCs w:val="24"/>
        </w:rPr>
        <w:fldChar w:fldCharType="end"/>
      </w:r>
      <w:r>
        <w:rPr>
          <w:rFonts w:hint="eastAsia" w:ascii="宋体" w:hAnsi="宋体" w:eastAsia="宋体" w:cs="Times New Roman"/>
          <w:b/>
          <w:sz w:val="24"/>
          <w:szCs w:val="24"/>
        </w:rPr>
        <w:t>实训项目</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校内实训基地所能完成的实训项目有：中药材识别、中药饮片鉴定、中药制药、中药流通使用、中药研发、中药检验与质量管理实训、专业综合实践、认识实习、生产实习、毕业综合实践等。</w:t>
      </w:r>
    </w:p>
    <w:p>
      <w:pPr>
        <w:spacing w:line="360" w:lineRule="auto"/>
        <w:ind w:firstLine="482" w:firstLineChars="200"/>
        <w:rPr>
          <w:rFonts w:ascii="宋体" w:hAnsi="宋体" w:eastAsia="宋体" w:cs="Times New Roman"/>
          <w:b/>
          <w:sz w:val="24"/>
          <w:szCs w:val="24"/>
        </w:rPr>
      </w:pPr>
      <w:r>
        <w:rPr>
          <w:rFonts w:ascii="宋体" w:hAnsi="宋体" w:eastAsia="宋体" w:cs="Times New Roman"/>
          <w:b/>
          <w:sz w:val="24"/>
          <w:szCs w:val="24"/>
        </w:rPr>
        <w:fldChar w:fldCharType="begin"/>
      </w:r>
      <w:r>
        <w:rPr>
          <w:rFonts w:ascii="宋体" w:hAnsi="宋体" w:eastAsia="宋体" w:cs="Times New Roman"/>
          <w:b/>
          <w:sz w:val="24"/>
          <w:szCs w:val="24"/>
        </w:rPr>
        <w:instrText xml:space="preserve"> </w:instrText>
      </w:r>
      <w:r>
        <w:rPr>
          <w:rFonts w:hint="eastAsia" w:ascii="宋体" w:hAnsi="宋体" w:eastAsia="宋体" w:cs="Times New Roman"/>
          <w:b/>
          <w:sz w:val="24"/>
          <w:szCs w:val="24"/>
        </w:rPr>
        <w:instrText xml:space="preserve">= 2 \* GB3</w:instrText>
      </w:r>
      <w:r>
        <w:rPr>
          <w:rFonts w:ascii="宋体" w:hAnsi="宋体" w:eastAsia="宋体" w:cs="Times New Roman"/>
          <w:b/>
          <w:sz w:val="24"/>
          <w:szCs w:val="24"/>
        </w:rPr>
        <w:instrText xml:space="preserve"> </w:instrText>
      </w:r>
      <w:r>
        <w:rPr>
          <w:rFonts w:ascii="宋体" w:hAnsi="宋体" w:eastAsia="宋体" w:cs="Times New Roman"/>
          <w:b/>
          <w:sz w:val="24"/>
          <w:szCs w:val="24"/>
        </w:rPr>
        <w:fldChar w:fldCharType="separate"/>
      </w:r>
      <w:r>
        <w:rPr>
          <w:rFonts w:hint="eastAsia" w:ascii="宋体" w:hAnsi="宋体" w:eastAsia="宋体" w:cs="Times New Roman"/>
          <w:b/>
          <w:sz w:val="24"/>
          <w:szCs w:val="24"/>
        </w:rPr>
        <w:t>②</w:t>
      </w:r>
      <w:r>
        <w:rPr>
          <w:rFonts w:ascii="宋体" w:hAnsi="宋体" w:eastAsia="宋体" w:cs="Times New Roman"/>
          <w:b/>
          <w:sz w:val="24"/>
          <w:szCs w:val="24"/>
        </w:rPr>
        <w:fldChar w:fldCharType="end"/>
      </w:r>
      <w:r>
        <w:rPr>
          <w:rFonts w:hint="eastAsia" w:ascii="宋体" w:hAnsi="宋体" w:eastAsia="宋体" w:cs="Times New Roman"/>
          <w:b/>
          <w:sz w:val="24"/>
          <w:szCs w:val="24"/>
        </w:rPr>
        <w:t>建设要求</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“中药制药”专业实训基地建设主要有实训场所建设、仪器设备配置和师资队伍建设等方面，具体如下：</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实训场所、</w:t>
      </w:r>
      <w:r>
        <w:rPr>
          <w:rFonts w:hint="eastAsia" w:ascii="宋体" w:hAnsi="宋体" w:eastAsia="宋体" w:cs="Times New Roman"/>
          <w:bCs/>
          <w:sz w:val="24"/>
          <w:szCs w:val="24"/>
        </w:rPr>
        <w:t>实训基地所需面积及配套设施要求如表1所示。</w:t>
      </w:r>
    </w:p>
    <w:p>
      <w:pPr>
        <w:spacing w:line="360" w:lineRule="auto"/>
        <w:jc w:val="center"/>
        <w:rPr>
          <w:rFonts w:ascii="仿宋_GB2312" w:hAnsi="宋体" w:eastAsia="仿宋_GB2312" w:cs="Times New Roman"/>
          <w:b/>
          <w:bCs/>
          <w:sz w:val="24"/>
          <w:szCs w:val="24"/>
        </w:rPr>
      </w:pPr>
      <w:r>
        <w:rPr>
          <w:rFonts w:hint="eastAsia" w:ascii="仿宋_GB2312" w:hAnsi="宋体" w:eastAsia="仿宋_GB2312" w:cs="Times New Roman"/>
          <w:b/>
          <w:bCs/>
          <w:sz w:val="24"/>
          <w:szCs w:val="24"/>
        </w:rPr>
        <w:t>表</w:t>
      </w:r>
      <w:r>
        <w:rPr>
          <w:rFonts w:ascii="仿宋_GB2312" w:hAnsi="宋体" w:eastAsia="仿宋_GB2312" w:cs="Times New Roman"/>
          <w:b/>
          <w:bCs/>
          <w:sz w:val="24"/>
          <w:szCs w:val="24"/>
        </w:rPr>
        <w:t>1</w:t>
      </w:r>
      <w:r>
        <w:rPr>
          <w:rFonts w:hint="eastAsia" w:ascii="仿宋_GB2312" w:hAnsi="宋体" w:eastAsia="仿宋_GB2312" w:cs="Times New Roman"/>
          <w:b/>
          <w:bCs/>
          <w:sz w:val="24"/>
          <w:szCs w:val="24"/>
        </w:rPr>
        <w:t xml:space="preserve">  实训基地所需面积及配套设施要求表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9"/>
        <w:gridCol w:w="5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2979" w:type="dxa"/>
            <w:vAlign w:val="center"/>
          </w:tcPr>
          <w:p>
            <w:pPr>
              <w:spacing w:line="360" w:lineRule="auto"/>
              <w:rPr>
                <w:rFonts w:ascii="宋体" w:hAnsi="宋体" w:eastAsia="宋体" w:cs="Times New Roman"/>
                <w:sz w:val="24"/>
                <w:szCs w:val="24"/>
              </w:rPr>
            </w:pPr>
            <w:r>
              <w:rPr>
                <w:rFonts w:hint="eastAsia" w:ascii="宋体" w:hAnsi="宋体" w:eastAsia="宋体" w:cs="Times New Roman"/>
                <w:sz w:val="24"/>
                <w:szCs w:val="24"/>
              </w:rPr>
              <w:t>项目所需使用面积（m</w:t>
            </w:r>
            <w:r>
              <w:rPr>
                <w:rFonts w:hint="eastAsia" w:ascii="宋体" w:hAnsi="宋体" w:eastAsia="宋体" w:cs="Times New Roman"/>
                <w:sz w:val="24"/>
                <w:szCs w:val="24"/>
                <w:vertAlign w:val="superscript"/>
              </w:rPr>
              <w:t>2</w:t>
            </w:r>
            <w:r>
              <w:rPr>
                <w:rFonts w:hint="eastAsia" w:ascii="宋体" w:hAnsi="宋体" w:eastAsia="宋体" w:cs="Times New Roman"/>
                <w:sz w:val="24"/>
                <w:szCs w:val="24"/>
              </w:rPr>
              <w:t>）</w:t>
            </w:r>
          </w:p>
        </w:tc>
        <w:tc>
          <w:tcPr>
            <w:tcW w:w="5075" w:type="dxa"/>
            <w:vAlign w:val="center"/>
          </w:tcPr>
          <w:p>
            <w:pPr>
              <w:spacing w:line="360" w:lineRule="auto"/>
              <w:rPr>
                <w:rFonts w:ascii="宋体" w:hAnsi="宋体" w:eastAsia="宋体" w:cs="Times New Roman"/>
                <w:sz w:val="24"/>
                <w:szCs w:val="24"/>
              </w:rPr>
            </w:pPr>
            <w:r>
              <w:rPr>
                <w:rFonts w:hint="eastAsia" w:ascii="宋体" w:hAnsi="宋体" w:eastAsia="宋体" w:cs="Times New Roman"/>
                <w:sz w:val="24"/>
                <w:szCs w:val="24"/>
              </w:rPr>
              <w:t>项目所需使用面积：500m</w:t>
            </w:r>
            <w:r>
              <w:rPr>
                <w:rFonts w:hint="eastAsia" w:ascii="宋体" w:hAnsi="宋体" w:eastAsia="宋体" w:cs="Times New Roman"/>
                <w:sz w:val="24"/>
                <w:szCs w:val="24"/>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2979" w:type="dxa"/>
            <w:vAlign w:val="center"/>
          </w:tcPr>
          <w:p>
            <w:pPr>
              <w:spacing w:line="360" w:lineRule="auto"/>
              <w:rPr>
                <w:rFonts w:ascii="宋体" w:hAnsi="宋体" w:eastAsia="宋体" w:cs="Times New Roman"/>
                <w:sz w:val="24"/>
                <w:szCs w:val="24"/>
              </w:rPr>
            </w:pPr>
            <w:r>
              <w:rPr>
                <w:rFonts w:hint="eastAsia" w:ascii="宋体" w:hAnsi="宋体" w:eastAsia="宋体" w:cs="Times New Roman"/>
                <w:sz w:val="24"/>
                <w:szCs w:val="24"/>
              </w:rPr>
              <w:t>房屋所需最大净高度（m）</w:t>
            </w:r>
          </w:p>
        </w:tc>
        <w:tc>
          <w:tcPr>
            <w:tcW w:w="5075" w:type="dxa"/>
            <w:vAlign w:val="center"/>
          </w:tcPr>
          <w:p>
            <w:pPr>
              <w:spacing w:line="360" w:lineRule="auto"/>
              <w:rPr>
                <w:rFonts w:ascii="宋体" w:hAnsi="宋体" w:eastAsia="宋体" w:cs="Times New Roman"/>
                <w:sz w:val="24"/>
                <w:szCs w:val="24"/>
              </w:rPr>
            </w:pPr>
            <w:r>
              <w:rPr>
                <w:rFonts w:hint="eastAsia" w:ascii="宋体" w:hAnsi="宋体" w:eastAsia="宋体" w:cs="Times New Roman"/>
                <w:sz w:val="24"/>
                <w:szCs w:val="24"/>
              </w:rPr>
              <w:t>房屋所需最大净高度：5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979" w:type="dxa"/>
            <w:vAlign w:val="center"/>
          </w:tcPr>
          <w:p>
            <w:pPr>
              <w:spacing w:line="360" w:lineRule="auto"/>
              <w:rPr>
                <w:rFonts w:ascii="宋体" w:hAnsi="宋体" w:eastAsia="宋体" w:cs="Times New Roman"/>
                <w:sz w:val="24"/>
                <w:szCs w:val="24"/>
              </w:rPr>
            </w:pPr>
            <w:r>
              <w:rPr>
                <w:rFonts w:hint="eastAsia" w:ascii="宋体" w:hAnsi="宋体" w:eastAsia="宋体" w:cs="Times New Roman"/>
                <w:sz w:val="24"/>
                <w:szCs w:val="24"/>
              </w:rPr>
              <w:t>项目对水电要求</w:t>
            </w:r>
          </w:p>
        </w:tc>
        <w:tc>
          <w:tcPr>
            <w:tcW w:w="5075" w:type="dxa"/>
            <w:vAlign w:val="center"/>
          </w:tcPr>
          <w:p>
            <w:pPr>
              <w:spacing w:line="360" w:lineRule="auto"/>
              <w:rPr>
                <w:rFonts w:ascii="宋体" w:hAnsi="宋体" w:eastAsia="宋体" w:cs="Times New Roman"/>
                <w:sz w:val="24"/>
                <w:szCs w:val="24"/>
              </w:rPr>
            </w:pPr>
            <w:r>
              <w:rPr>
                <w:rFonts w:hint="eastAsia" w:ascii="宋体" w:hAnsi="宋体" w:eastAsia="宋体" w:cs="Times New Roman"/>
                <w:sz w:val="24"/>
                <w:szCs w:val="24"/>
              </w:rPr>
              <w:t>设备的加热及动力总容量约200kw</w:t>
            </w:r>
          </w:p>
          <w:p>
            <w:pPr>
              <w:spacing w:line="360" w:lineRule="auto"/>
              <w:rPr>
                <w:rFonts w:ascii="宋体" w:hAnsi="宋体" w:eastAsia="宋体" w:cs="Times New Roman"/>
                <w:sz w:val="24"/>
                <w:szCs w:val="24"/>
              </w:rPr>
            </w:pPr>
            <w:r>
              <w:rPr>
                <w:rFonts w:hint="eastAsia" w:ascii="宋体" w:hAnsi="宋体" w:eastAsia="宋体" w:cs="Times New Roman"/>
                <w:sz w:val="24"/>
                <w:szCs w:val="24"/>
              </w:rPr>
              <w:t>水电必须接到生产实训设备的安装处。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2979" w:type="dxa"/>
            <w:vAlign w:val="center"/>
          </w:tcPr>
          <w:p>
            <w:pPr>
              <w:spacing w:line="360" w:lineRule="auto"/>
              <w:rPr>
                <w:rFonts w:ascii="宋体" w:hAnsi="宋体" w:eastAsia="宋体" w:cs="Times New Roman"/>
                <w:sz w:val="24"/>
                <w:szCs w:val="24"/>
              </w:rPr>
            </w:pPr>
            <w:r>
              <w:rPr>
                <w:rFonts w:hint="eastAsia" w:ascii="宋体" w:hAnsi="宋体" w:eastAsia="宋体" w:cs="Times New Roman"/>
                <w:sz w:val="24"/>
                <w:szCs w:val="24"/>
              </w:rPr>
              <w:t>其它要求</w:t>
            </w:r>
          </w:p>
        </w:tc>
        <w:tc>
          <w:tcPr>
            <w:tcW w:w="5075" w:type="dxa"/>
            <w:vAlign w:val="center"/>
          </w:tcPr>
          <w:p>
            <w:pPr>
              <w:spacing w:line="360" w:lineRule="auto"/>
              <w:rPr>
                <w:rFonts w:ascii="宋体" w:hAnsi="宋体" w:eastAsia="宋体" w:cs="Times New Roman"/>
                <w:sz w:val="24"/>
                <w:szCs w:val="24"/>
              </w:rPr>
            </w:pPr>
            <w:r>
              <w:rPr>
                <w:rFonts w:hint="eastAsia" w:ascii="宋体" w:hAnsi="宋体" w:eastAsia="宋体" w:cs="Times New Roman"/>
                <w:sz w:val="24"/>
                <w:szCs w:val="24"/>
              </w:rPr>
              <w:t>专用实训室按GMP标准建造</w:t>
            </w:r>
          </w:p>
        </w:tc>
      </w:tr>
    </w:tbl>
    <w:p>
      <w:pPr>
        <w:spacing w:before="156" w:beforeLines="50" w:line="360" w:lineRule="auto"/>
        <w:ind w:firstLine="482" w:firstLineChars="200"/>
        <w:jc w:val="center"/>
        <w:rPr>
          <w:rFonts w:ascii="仿宋_GB2312" w:hAnsi="宋体" w:eastAsia="仿宋_GB2312" w:cs="Times New Roman"/>
          <w:b/>
          <w:bCs/>
          <w:sz w:val="24"/>
          <w:szCs w:val="24"/>
        </w:rPr>
      </w:pPr>
      <w:r>
        <w:rPr>
          <w:rFonts w:hint="eastAsia" w:ascii="仿宋_GB2312" w:hAnsi="宋体" w:eastAsia="仿宋_GB2312" w:cs="Times New Roman"/>
          <w:b/>
          <w:bCs/>
          <w:sz w:val="24"/>
          <w:szCs w:val="24"/>
        </w:rPr>
        <w:t>表</w:t>
      </w:r>
      <w:r>
        <w:rPr>
          <w:rFonts w:ascii="仿宋_GB2312" w:hAnsi="宋体" w:eastAsia="仿宋_GB2312" w:cs="Times New Roman"/>
          <w:b/>
          <w:bCs/>
          <w:sz w:val="24"/>
          <w:szCs w:val="24"/>
        </w:rPr>
        <w:t>2</w:t>
      </w:r>
      <w:r>
        <w:rPr>
          <w:rFonts w:hint="eastAsia" w:ascii="仿宋_GB2312" w:hAnsi="宋体" w:eastAsia="仿宋_GB2312" w:cs="Times New Roman"/>
          <w:b/>
          <w:bCs/>
          <w:sz w:val="24"/>
          <w:szCs w:val="24"/>
        </w:rPr>
        <w:t xml:space="preserve">  实训基地所需仪器设备</w:t>
      </w:r>
    </w:p>
    <w:tbl>
      <w:tblPr>
        <w:tblStyle w:val="6"/>
        <w:tblW w:w="9574" w:type="dxa"/>
        <w:tblInd w:w="1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37"/>
        <w:gridCol w:w="1768"/>
        <w:gridCol w:w="1985"/>
        <w:gridCol w:w="1668"/>
        <w:gridCol w:w="19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autoSpaceDE w:val="0"/>
              <w:autoSpaceDN w:val="0"/>
              <w:spacing w:before="79"/>
              <w:ind w:left="158"/>
              <w:jc w:val="left"/>
              <w:rPr>
                <w:rFonts w:ascii="宋体" w:hAnsi="宋体" w:eastAsia="宋体" w:cs="宋体"/>
                <w:color w:val="000000" w:themeColor="text1"/>
                <w:kern w:val="0"/>
                <w:sz w:val="24"/>
                <w:lang w:val="zh-CN" w:bidi="zh-CN"/>
                <w14:textFill>
                  <w14:solidFill>
                    <w14:schemeClr w14:val="tx1"/>
                  </w14:solidFill>
                </w14:textFill>
              </w:rPr>
            </w:pPr>
            <w:r>
              <w:rPr>
                <w:rFonts w:ascii="宋体" w:hAnsi="宋体" w:eastAsia="宋体" w:cs="宋体"/>
                <w:color w:val="000000" w:themeColor="text1"/>
                <w:kern w:val="0"/>
                <w:sz w:val="24"/>
                <w:lang w:val="zh-CN" w:bidi="zh-CN"/>
                <w14:textFill>
                  <w14:solidFill>
                    <w14:schemeClr w14:val="tx1"/>
                  </w14:solidFill>
                </w14:textFill>
              </w:rPr>
              <w:t>教学实验设备名称</w:t>
            </w:r>
          </w:p>
        </w:tc>
        <w:tc>
          <w:tcPr>
            <w:tcW w:w="1768" w:type="dxa"/>
          </w:tcPr>
          <w:p>
            <w:pPr>
              <w:autoSpaceDE w:val="0"/>
              <w:autoSpaceDN w:val="0"/>
              <w:spacing w:before="79"/>
              <w:ind w:left="312"/>
              <w:rPr>
                <w:rFonts w:ascii="宋体" w:hAnsi="宋体" w:eastAsia="宋体" w:cs="宋体"/>
                <w:color w:val="000000" w:themeColor="text1"/>
                <w:kern w:val="0"/>
                <w:sz w:val="24"/>
                <w:lang w:val="zh-CN" w:bidi="zh-CN"/>
                <w14:textFill>
                  <w14:solidFill>
                    <w14:schemeClr w14:val="tx1"/>
                  </w14:solidFill>
                </w14:textFill>
              </w:rPr>
            </w:pPr>
            <w:r>
              <w:rPr>
                <w:rFonts w:ascii="宋体" w:hAnsi="宋体" w:eastAsia="宋体" w:cs="宋体"/>
                <w:color w:val="000000" w:themeColor="text1"/>
                <w:kern w:val="0"/>
                <w:sz w:val="24"/>
                <w:lang w:val="zh-CN" w:bidi="zh-CN"/>
                <w14:textFill>
                  <w14:solidFill>
                    <w14:schemeClr w14:val="tx1"/>
                  </w14:solidFill>
                </w14:textFill>
              </w:rPr>
              <w:t>型号规格</w:t>
            </w:r>
          </w:p>
        </w:tc>
        <w:tc>
          <w:tcPr>
            <w:tcW w:w="1985" w:type="dxa"/>
          </w:tcPr>
          <w:p>
            <w:pPr>
              <w:autoSpaceDE w:val="0"/>
              <w:autoSpaceDN w:val="0"/>
              <w:spacing w:before="79"/>
              <w:ind w:left="694" w:right="688"/>
              <w:jc w:val="center"/>
              <w:rPr>
                <w:rFonts w:ascii="宋体" w:hAnsi="宋体" w:eastAsia="宋体" w:cs="宋体"/>
                <w:color w:val="000000" w:themeColor="text1"/>
                <w:kern w:val="0"/>
                <w:sz w:val="24"/>
                <w:lang w:val="zh-CN" w:bidi="zh-CN"/>
                <w14:textFill>
                  <w14:solidFill>
                    <w14:schemeClr w14:val="tx1"/>
                  </w14:solidFill>
                </w14:textFill>
              </w:rPr>
            </w:pPr>
            <w:r>
              <w:rPr>
                <w:rFonts w:ascii="宋体" w:hAnsi="宋体" w:eastAsia="宋体" w:cs="宋体"/>
                <w:color w:val="000000" w:themeColor="text1"/>
                <w:kern w:val="0"/>
                <w:sz w:val="24"/>
                <w:lang w:val="zh-CN" w:bidi="zh-CN"/>
                <w14:textFill>
                  <w14:solidFill>
                    <w14:schemeClr w14:val="tx1"/>
                  </w14:solidFill>
                </w14:textFill>
              </w:rPr>
              <w:t>数量</w:t>
            </w:r>
          </w:p>
        </w:tc>
        <w:tc>
          <w:tcPr>
            <w:tcW w:w="1668" w:type="dxa"/>
          </w:tcPr>
          <w:p>
            <w:pPr>
              <w:autoSpaceDE w:val="0"/>
              <w:autoSpaceDN w:val="0"/>
              <w:spacing w:before="79"/>
              <w:jc w:val="center"/>
              <w:rPr>
                <w:rFonts w:ascii="宋体" w:hAnsi="宋体" w:eastAsia="宋体" w:cs="宋体"/>
                <w:color w:val="000000" w:themeColor="text1"/>
                <w:kern w:val="0"/>
                <w:sz w:val="24"/>
                <w:lang w:val="zh-CN" w:bidi="zh-CN"/>
                <w14:textFill>
                  <w14:solidFill>
                    <w14:schemeClr w14:val="tx1"/>
                  </w14:solidFill>
                </w14:textFill>
              </w:rPr>
            </w:pPr>
            <w:r>
              <w:rPr>
                <w:rFonts w:ascii="宋体" w:hAnsi="宋体" w:eastAsia="宋体" w:cs="宋体"/>
                <w:color w:val="000000" w:themeColor="text1"/>
                <w:kern w:val="0"/>
                <w:sz w:val="24"/>
                <w:lang w:val="zh-CN" w:bidi="zh-CN"/>
                <w14:textFill>
                  <w14:solidFill>
                    <w14:schemeClr w14:val="tx1"/>
                  </w14:solidFill>
                </w14:textFill>
              </w:rPr>
              <w:t>购入时间</w:t>
            </w:r>
          </w:p>
        </w:tc>
        <w:tc>
          <w:tcPr>
            <w:tcW w:w="1916" w:type="dxa"/>
          </w:tcPr>
          <w:p>
            <w:pPr>
              <w:autoSpaceDE w:val="0"/>
              <w:autoSpaceDN w:val="0"/>
              <w:spacing w:before="79"/>
              <w:ind w:left="114"/>
              <w:jc w:val="center"/>
              <w:rPr>
                <w:rFonts w:ascii="宋体" w:hAnsi="宋体" w:eastAsia="宋体" w:cs="宋体"/>
                <w:color w:val="000000" w:themeColor="text1"/>
                <w:kern w:val="0"/>
                <w:sz w:val="24"/>
                <w:lang w:val="zh-CN" w:bidi="zh-CN"/>
                <w14:textFill>
                  <w14:solidFill>
                    <w14:schemeClr w14:val="tx1"/>
                  </w14:solidFill>
                </w14:textFill>
              </w:rPr>
            </w:pPr>
            <w:r>
              <w:rPr>
                <w:rFonts w:ascii="宋体" w:hAnsi="宋体" w:eastAsia="宋体" w:cs="宋体"/>
                <w:color w:val="000000" w:themeColor="text1"/>
                <w:kern w:val="0"/>
                <w:sz w:val="24"/>
                <w:lang w:val="zh-CN" w:bidi="zh-CN"/>
                <w14:textFill>
                  <w14:solidFill>
                    <w14:schemeClr w14:val="tx1"/>
                  </w14:solidFill>
                </w14:textFill>
              </w:rPr>
              <w:t>价</w:t>
            </w:r>
            <w:r>
              <w:rPr>
                <w:rFonts w:hint="eastAsia" w:ascii="宋体" w:hAnsi="宋体" w:eastAsia="宋体" w:cs="宋体"/>
                <w:color w:val="000000" w:themeColor="text1"/>
                <w:kern w:val="0"/>
                <w:sz w:val="24"/>
                <w:lang w:val="zh-CN" w:bidi="zh-CN"/>
                <w14:textFill>
                  <w14:solidFill>
                    <w14:schemeClr w14:val="tx1"/>
                  </w14:solidFill>
                </w14:textFill>
              </w:rPr>
              <w:t>格</w:t>
            </w:r>
            <w:r>
              <w:rPr>
                <w:rFonts w:ascii="宋体" w:hAnsi="宋体" w:eastAsia="宋体" w:cs="宋体"/>
                <w:color w:val="000000" w:themeColor="text1"/>
                <w:kern w:val="0"/>
                <w:sz w:val="24"/>
                <w:lang w:val="zh-CN" w:bidi="zh-CN"/>
                <w14:textFill>
                  <w14:solidFill>
                    <w14:schemeClr w14:val="tx1"/>
                  </w14:solidFill>
                </w14:textFill>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显微镜</w:t>
            </w:r>
          </w:p>
        </w:tc>
        <w:tc>
          <w:tcPr>
            <w:tcW w:w="1768"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CX40M</w:t>
            </w:r>
          </w:p>
        </w:tc>
        <w:tc>
          <w:tcPr>
            <w:tcW w:w="1985"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30</w:t>
            </w:r>
          </w:p>
        </w:tc>
        <w:tc>
          <w:tcPr>
            <w:tcW w:w="1668" w:type="dxa"/>
          </w:tcPr>
          <w:p>
            <w:pPr>
              <w:autoSpaceDE w:val="0"/>
              <w:autoSpaceDN w:val="0"/>
              <w:jc w:val="center"/>
              <w:rPr>
                <w:rFonts w:ascii="Times New Roman" w:hAnsi="宋体" w:eastAsia="宋体" w:cs="宋体"/>
                <w:color w:val="000000" w:themeColor="text1"/>
                <w:kern w:val="0"/>
                <w:sz w:val="24"/>
                <w:lang w:val="zh-CN" w:bidi="zh-CN"/>
                <w14:textFill>
                  <w14:solidFill>
                    <w14:schemeClr w14:val="tx1"/>
                  </w14:solidFill>
                </w14:textFill>
              </w:rPr>
            </w:pPr>
            <w:r>
              <w:rPr>
                <w:rFonts w:hint="eastAsia" w:ascii="Times New Roman" w:hAnsi="宋体" w:eastAsia="宋体" w:cs="宋体"/>
                <w:color w:val="000000" w:themeColor="text1"/>
                <w:kern w:val="0"/>
                <w:sz w:val="24"/>
                <w:lang w:val="zh-CN" w:bidi="zh-CN"/>
                <w14:textFill>
                  <w14:solidFill>
                    <w14:schemeClr w14:val="tx1"/>
                  </w14:solidFill>
                </w14:textFill>
              </w:rPr>
              <w:t>预购</w:t>
            </w:r>
          </w:p>
        </w:tc>
        <w:tc>
          <w:tcPr>
            <w:tcW w:w="1916"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20000/台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超声波清洗机</w:t>
            </w:r>
          </w:p>
        </w:tc>
        <w:tc>
          <w:tcPr>
            <w:tcW w:w="1768"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KQ-300DB</w:t>
            </w:r>
          </w:p>
        </w:tc>
        <w:tc>
          <w:tcPr>
            <w:tcW w:w="1985"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20</w:t>
            </w:r>
          </w:p>
        </w:tc>
        <w:tc>
          <w:tcPr>
            <w:tcW w:w="1668" w:type="dxa"/>
          </w:tcPr>
          <w:p>
            <w:pPr>
              <w:autoSpaceDE w:val="0"/>
              <w:autoSpaceDN w:val="0"/>
              <w:jc w:val="center"/>
              <w:rPr>
                <w:rFonts w:ascii="Times New Roman" w:hAnsi="宋体" w:eastAsia="宋体" w:cs="宋体"/>
                <w:color w:val="000000" w:themeColor="text1"/>
                <w:kern w:val="0"/>
                <w:sz w:val="24"/>
                <w:lang w:val="zh-CN" w:bidi="zh-CN"/>
                <w14:textFill>
                  <w14:solidFill>
                    <w14:schemeClr w14:val="tx1"/>
                  </w14:solidFill>
                </w14:textFill>
              </w:rPr>
            </w:pPr>
            <w:r>
              <w:rPr>
                <w:rFonts w:hint="eastAsia" w:ascii="Times New Roman" w:hAnsi="宋体" w:eastAsia="宋体" w:cs="宋体"/>
                <w:color w:val="000000" w:themeColor="text1"/>
                <w:kern w:val="0"/>
                <w:sz w:val="24"/>
                <w:lang w:val="zh-CN" w:bidi="zh-CN"/>
                <w14:textFill>
                  <w14:solidFill>
                    <w14:schemeClr w14:val="tx1"/>
                  </w14:solidFill>
                </w14:textFill>
              </w:rPr>
              <w:t>预购</w:t>
            </w:r>
          </w:p>
        </w:tc>
        <w:tc>
          <w:tcPr>
            <w:tcW w:w="1916"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3000/台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autoSpaceDE w:val="0"/>
              <w:autoSpaceDN w:val="0"/>
              <w:jc w:val="center"/>
              <w:rPr>
                <w:rFonts w:ascii="Times New Roman" w:hAnsi="宋体" w:eastAsia="宋体" w:cs="宋体"/>
                <w:color w:val="000000" w:themeColor="text1"/>
                <w:kern w:val="0"/>
                <w:sz w:val="24"/>
                <w:lang w:val="zh-CN" w:bidi="zh-CN"/>
                <w14:textFill>
                  <w14:solidFill>
                    <w14:schemeClr w14:val="tx1"/>
                  </w14:solidFill>
                </w14:textFill>
              </w:rPr>
            </w:pPr>
            <w:r>
              <w:rPr>
                <w:rFonts w:hint="eastAsia" w:ascii="Times New Roman" w:hAnsi="宋体" w:eastAsia="宋体" w:cs="宋体"/>
                <w:color w:val="000000" w:themeColor="text1"/>
                <w:kern w:val="0"/>
                <w:sz w:val="24"/>
                <w:lang w:val="zh-CN" w:bidi="zh-CN"/>
                <w14:textFill>
                  <w14:solidFill>
                    <w14:schemeClr w14:val="tx1"/>
                  </w14:solidFill>
                </w14:textFill>
              </w:rPr>
              <w:t>紫外分光光度计</w:t>
            </w:r>
          </w:p>
        </w:tc>
        <w:tc>
          <w:tcPr>
            <w:tcW w:w="1768"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UV1700</w:t>
            </w:r>
          </w:p>
        </w:tc>
        <w:tc>
          <w:tcPr>
            <w:tcW w:w="1985"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10</w:t>
            </w:r>
          </w:p>
        </w:tc>
        <w:tc>
          <w:tcPr>
            <w:tcW w:w="1668" w:type="dxa"/>
          </w:tcPr>
          <w:p>
            <w:pPr>
              <w:autoSpaceDE w:val="0"/>
              <w:autoSpaceDN w:val="0"/>
              <w:jc w:val="center"/>
              <w:rPr>
                <w:rFonts w:ascii="Times New Roman" w:hAnsi="宋体" w:eastAsia="宋体" w:cs="宋体"/>
                <w:color w:val="000000" w:themeColor="text1"/>
                <w:kern w:val="0"/>
                <w:sz w:val="24"/>
                <w:lang w:val="zh-CN" w:bidi="zh-CN"/>
                <w14:textFill>
                  <w14:solidFill>
                    <w14:schemeClr w14:val="tx1"/>
                  </w14:solidFill>
                </w14:textFill>
              </w:rPr>
            </w:pPr>
            <w:r>
              <w:rPr>
                <w:rFonts w:hint="eastAsia" w:ascii="Times New Roman" w:hAnsi="宋体" w:eastAsia="宋体" w:cs="宋体"/>
                <w:color w:val="000000" w:themeColor="text1"/>
                <w:kern w:val="0"/>
                <w:sz w:val="24"/>
                <w:lang w:val="zh-CN" w:bidi="zh-CN"/>
                <w14:textFill>
                  <w14:solidFill>
                    <w14:schemeClr w14:val="tx1"/>
                  </w14:solidFill>
                </w14:textFill>
              </w:rPr>
              <w:t>预购</w:t>
            </w:r>
          </w:p>
        </w:tc>
        <w:tc>
          <w:tcPr>
            <w:tcW w:w="1916" w:type="dxa"/>
          </w:tcPr>
          <w:p>
            <w:pPr>
              <w:autoSpaceDE w:val="0"/>
              <w:autoSpaceDN w:val="0"/>
              <w:jc w:val="center"/>
              <w:rPr>
                <w:rFonts w:ascii="宋体" w:hAnsi="宋体" w:eastAsia="宋体" w:cs="宋体"/>
                <w:color w:val="000000" w:themeColor="text1"/>
                <w:kern w:val="0"/>
                <w:sz w:val="22"/>
                <w:lang w:bidi="zh-CN"/>
                <w14:textFill>
                  <w14:solidFill>
                    <w14:schemeClr w14:val="tx1"/>
                  </w14:solidFill>
                </w14:textFill>
              </w:rPr>
            </w:pPr>
            <w:r>
              <w:rPr>
                <w:rFonts w:hint="eastAsia" w:ascii="宋体" w:hAnsi="宋体" w:eastAsia="宋体" w:cs="宋体"/>
                <w:color w:val="000000" w:themeColor="text1"/>
                <w:kern w:val="0"/>
                <w:sz w:val="22"/>
                <w:lang w:bidi="zh-CN"/>
                <w14:textFill>
                  <w14:solidFill>
                    <w14:schemeClr w14:val="tx1"/>
                  </w14:solidFill>
                </w14:textFill>
              </w:rPr>
              <w:t>5000/台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autoSpaceDE w:val="0"/>
              <w:autoSpaceDN w:val="0"/>
              <w:jc w:val="center"/>
              <w:rPr>
                <w:rFonts w:ascii="Times New Roman" w:hAnsi="宋体" w:eastAsia="宋体" w:cs="宋体"/>
                <w:color w:val="000000" w:themeColor="text1"/>
                <w:kern w:val="0"/>
                <w:sz w:val="24"/>
                <w:lang w:val="zh-CN" w:bidi="zh-CN"/>
                <w14:textFill>
                  <w14:solidFill>
                    <w14:schemeClr w14:val="tx1"/>
                  </w14:solidFill>
                </w14:textFill>
              </w:rPr>
            </w:pPr>
            <w:r>
              <w:rPr>
                <w:rFonts w:hint="eastAsia" w:ascii="Times New Roman" w:hAnsi="宋体" w:eastAsia="宋体" w:cs="宋体"/>
                <w:color w:val="000000" w:themeColor="text1"/>
                <w:kern w:val="0"/>
                <w:sz w:val="24"/>
                <w:lang w:val="zh-CN" w:bidi="zh-CN"/>
                <w14:textFill>
                  <w14:solidFill>
                    <w14:schemeClr w14:val="tx1"/>
                  </w14:solidFill>
                </w14:textFill>
              </w:rPr>
              <w:t>高效液相色谱仪</w:t>
            </w:r>
          </w:p>
        </w:tc>
        <w:tc>
          <w:tcPr>
            <w:tcW w:w="1768"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Agilent1260</w:t>
            </w:r>
          </w:p>
        </w:tc>
        <w:tc>
          <w:tcPr>
            <w:tcW w:w="1985"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6</w:t>
            </w:r>
          </w:p>
        </w:tc>
        <w:tc>
          <w:tcPr>
            <w:tcW w:w="1668" w:type="dxa"/>
          </w:tcPr>
          <w:p>
            <w:pPr>
              <w:autoSpaceDE w:val="0"/>
              <w:autoSpaceDN w:val="0"/>
              <w:jc w:val="center"/>
              <w:rPr>
                <w:rFonts w:ascii="Times New Roman" w:hAnsi="宋体" w:eastAsia="宋体" w:cs="宋体"/>
                <w:color w:val="000000" w:themeColor="text1"/>
                <w:kern w:val="0"/>
                <w:sz w:val="24"/>
                <w:lang w:val="zh-CN" w:bidi="zh-CN"/>
                <w14:textFill>
                  <w14:solidFill>
                    <w14:schemeClr w14:val="tx1"/>
                  </w14:solidFill>
                </w14:textFill>
              </w:rPr>
            </w:pPr>
            <w:r>
              <w:rPr>
                <w:rFonts w:hint="eastAsia" w:ascii="Times New Roman" w:hAnsi="宋体" w:eastAsia="宋体" w:cs="宋体"/>
                <w:color w:val="000000" w:themeColor="text1"/>
                <w:kern w:val="0"/>
                <w:sz w:val="24"/>
                <w:lang w:val="zh-CN" w:bidi="zh-CN"/>
                <w14:textFill>
                  <w14:solidFill>
                    <w14:schemeClr w14:val="tx1"/>
                  </w14:solidFill>
                </w14:textFill>
              </w:rPr>
              <w:t>预购</w:t>
            </w:r>
          </w:p>
        </w:tc>
        <w:tc>
          <w:tcPr>
            <w:tcW w:w="1916"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180000/台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tcPr>
          <w:p>
            <w:pPr>
              <w:autoSpaceDE w:val="0"/>
              <w:autoSpaceDN w:val="0"/>
              <w:jc w:val="center"/>
              <w:rPr>
                <w:rFonts w:ascii="Times New Roman" w:hAnsi="宋体" w:eastAsia="宋体" w:cs="宋体"/>
                <w:color w:val="000000" w:themeColor="text1"/>
                <w:kern w:val="0"/>
                <w:sz w:val="24"/>
                <w:lang w:val="zh-CN" w:bidi="zh-CN"/>
                <w14:textFill>
                  <w14:solidFill>
                    <w14:schemeClr w14:val="tx1"/>
                  </w14:solidFill>
                </w14:textFill>
              </w:rPr>
            </w:pPr>
            <w:r>
              <w:rPr>
                <w:rFonts w:hint="eastAsia" w:ascii="Times New Roman" w:hAnsi="宋体" w:eastAsia="宋体" w:cs="宋体"/>
                <w:color w:val="000000" w:themeColor="text1"/>
                <w:kern w:val="0"/>
                <w:sz w:val="24"/>
                <w:lang w:val="zh-CN" w:bidi="zh-CN"/>
                <w14:textFill>
                  <w14:solidFill>
                    <w14:schemeClr w14:val="tx1"/>
                  </w14:solidFill>
                </w14:textFill>
              </w:rPr>
              <w:t>气相色谱仪</w:t>
            </w:r>
          </w:p>
        </w:tc>
        <w:tc>
          <w:tcPr>
            <w:tcW w:w="1768"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Agilent7890B</w:t>
            </w:r>
          </w:p>
        </w:tc>
        <w:tc>
          <w:tcPr>
            <w:tcW w:w="1985"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6</w:t>
            </w:r>
          </w:p>
        </w:tc>
        <w:tc>
          <w:tcPr>
            <w:tcW w:w="1668" w:type="dxa"/>
          </w:tcPr>
          <w:p>
            <w:pPr>
              <w:autoSpaceDE w:val="0"/>
              <w:autoSpaceDN w:val="0"/>
              <w:jc w:val="center"/>
              <w:rPr>
                <w:rFonts w:ascii="Times New Roman" w:hAnsi="宋体" w:eastAsia="宋体" w:cs="宋体"/>
                <w:color w:val="000000" w:themeColor="text1"/>
                <w:kern w:val="0"/>
                <w:sz w:val="24"/>
                <w:lang w:val="zh-CN" w:bidi="zh-CN"/>
                <w14:textFill>
                  <w14:solidFill>
                    <w14:schemeClr w14:val="tx1"/>
                  </w14:solidFill>
                </w14:textFill>
              </w:rPr>
            </w:pPr>
            <w:r>
              <w:rPr>
                <w:rFonts w:hint="eastAsia" w:ascii="Times New Roman" w:hAnsi="宋体" w:eastAsia="宋体" w:cs="宋体"/>
                <w:color w:val="000000" w:themeColor="text1"/>
                <w:kern w:val="0"/>
                <w:sz w:val="24"/>
                <w:lang w:val="zh-CN" w:bidi="zh-CN"/>
                <w14:textFill>
                  <w14:solidFill>
                    <w14:schemeClr w14:val="tx1"/>
                  </w14:solidFill>
                </w14:textFill>
              </w:rPr>
              <w:t>预购</w:t>
            </w:r>
          </w:p>
        </w:tc>
        <w:tc>
          <w:tcPr>
            <w:tcW w:w="1916"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170000/台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万能粉碎机</w:t>
            </w:r>
          </w:p>
        </w:tc>
        <w:tc>
          <w:tcPr>
            <w:tcW w:w="1768"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20B</w:t>
            </w:r>
          </w:p>
        </w:tc>
        <w:tc>
          <w:tcPr>
            <w:tcW w:w="1985"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1</w:t>
            </w:r>
          </w:p>
        </w:tc>
        <w:tc>
          <w:tcPr>
            <w:tcW w:w="1668" w:type="dxa"/>
          </w:tcPr>
          <w:p>
            <w:pPr>
              <w:autoSpaceDE w:val="0"/>
              <w:autoSpaceDN w:val="0"/>
              <w:jc w:val="center"/>
              <w:rPr>
                <w:rFonts w:ascii="Times New Roman" w:hAnsi="宋体" w:eastAsia="宋体" w:cs="宋体"/>
                <w:color w:val="000000" w:themeColor="text1"/>
                <w:kern w:val="0"/>
                <w:sz w:val="24"/>
                <w:lang w:val="zh-CN" w:bidi="zh-CN"/>
                <w14:textFill>
                  <w14:solidFill>
                    <w14:schemeClr w14:val="tx1"/>
                  </w14:solidFill>
                </w14:textFill>
              </w:rPr>
            </w:pPr>
            <w:r>
              <w:rPr>
                <w:rFonts w:hint="eastAsia" w:ascii="Times New Roman" w:hAnsi="宋体" w:eastAsia="宋体" w:cs="宋体"/>
                <w:color w:val="000000" w:themeColor="text1"/>
                <w:kern w:val="0"/>
                <w:sz w:val="24"/>
                <w:lang w:val="zh-CN" w:bidi="zh-CN"/>
                <w14:textFill>
                  <w14:solidFill>
                    <w14:schemeClr w14:val="tx1"/>
                  </w14:solidFill>
                </w14:textFill>
              </w:rPr>
              <w:t>预购</w:t>
            </w:r>
          </w:p>
        </w:tc>
        <w:tc>
          <w:tcPr>
            <w:tcW w:w="1916"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25000/台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槽型混合机</w:t>
            </w:r>
          </w:p>
        </w:tc>
        <w:tc>
          <w:tcPr>
            <w:tcW w:w="1768"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CH-100</w:t>
            </w:r>
          </w:p>
        </w:tc>
        <w:tc>
          <w:tcPr>
            <w:tcW w:w="1985"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1</w:t>
            </w:r>
          </w:p>
        </w:tc>
        <w:tc>
          <w:tcPr>
            <w:tcW w:w="1668" w:type="dxa"/>
          </w:tcPr>
          <w:p>
            <w:pPr>
              <w:autoSpaceDE w:val="0"/>
              <w:autoSpaceDN w:val="0"/>
              <w:jc w:val="center"/>
              <w:rPr>
                <w:rFonts w:ascii="Times New Roman" w:hAnsi="宋体" w:eastAsia="宋体" w:cs="宋体"/>
                <w:color w:val="000000" w:themeColor="text1"/>
                <w:kern w:val="0"/>
                <w:sz w:val="24"/>
                <w:lang w:val="zh-CN" w:bidi="zh-CN"/>
                <w14:textFill>
                  <w14:solidFill>
                    <w14:schemeClr w14:val="tx1"/>
                  </w14:solidFill>
                </w14:textFill>
              </w:rPr>
            </w:pPr>
            <w:r>
              <w:rPr>
                <w:rFonts w:hint="eastAsia" w:ascii="Times New Roman" w:hAnsi="宋体" w:eastAsia="宋体" w:cs="宋体"/>
                <w:color w:val="000000" w:themeColor="text1"/>
                <w:kern w:val="0"/>
                <w:sz w:val="24"/>
                <w:lang w:val="zh-CN" w:bidi="zh-CN"/>
                <w14:textFill>
                  <w14:solidFill>
                    <w14:schemeClr w14:val="tx1"/>
                  </w14:solidFill>
                </w14:textFill>
              </w:rPr>
              <w:t>预购</w:t>
            </w:r>
          </w:p>
        </w:tc>
        <w:tc>
          <w:tcPr>
            <w:tcW w:w="1916"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15000/台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多向运动混合机</w:t>
            </w:r>
          </w:p>
        </w:tc>
        <w:tc>
          <w:tcPr>
            <w:tcW w:w="1768" w:type="dxa"/>
          </w:tcPr>
          <w:p>
            <w:pPr>
              <w:widowControl/>
              <w:jc w:val="center"/>
              <w:outlineLvl w:val="0"/>
              <w:rPr>
                <w:rFonts w:ascii="Times New Roman" w:hAnsi="宋体" w:eastAsia="宋体" w:cs="宋体"/>
                <w:b/>
                <w:bCs/>
                <w:color w:val="000000" w:themeColor="text1"/>
                <w:kern w:val="0"/>
                <w:sz w:val="24"/>
                <w:szCs w:val="48"/>
                <w:lang w:bidi="zh-CN"/>
                <w14:textFill>
                  <w14:solidFill>
                    <w14:schemeClr w14:val="tx1"/>
                  </w14:solidFill>
                </w14:textFill>
              </w:rPr>
            </w:pPr>
            <w:r>
              <w:rPr>
                <w:rFonts w:ascii="宋体" w:hAnsi="宋体" w:eastAsia="宋体" w:cs="宋体"/>
                <w:b/>
                <w:bCs/>
                <w:color w:val="000000" w:themeColor="text1"/>
                <w:kern w:val="36"/>
                <w:sz w:val="27"/>
                <w:szCs w:val="27"/>
                <w14:textFill>
                  <w14:solidFill>
                    <w14:schemeClr w14:val="tx1"/>
                  </w14:solidFill>
                </w14:textFill>
              </w:rPr>
              <w:t>SY</w:t>
            </w:r>
            <w:r>
              <w:rPr>
                <w:rFonts w:hint="eastAsia" w:ascii="Times New Roman" w:hAnsi="宋体" w:eastAsia="宋体" w:cs="宋体"/>
                <w:color w:val="000000" w:themeColor="text1"/>
                <w:kern w:val="0"/>
                <w:sz w:val="24"/>
                <w:lang w:bidi="zh-CN"/>
                <w14:textFill>
                  <w14:solidFill>
                    <w14:schemeClr w14:val="tx1"/>
                  </w14:solidFill>
                </w14:textFill>
              </w:rPr>
              <w:t>SYH-200</w:t>
            </w:r>
          </w:p>
        </w:tc>
        <w:tc>
          <w:tcPr>
            <w:tcW w:w="1985"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1</w:t>
            </w:r>
          </w:p>
        </w:tc>
        <w:tc>
          <w:tcPr>
            <w:tcW w:w="1668" w:type="dxa"/>
          </w:tcPr>
          <w:p>
            <w:pPr>
              <w:autoSpaceDE w:val="0"/>
              <w:autoSpaceDN w:val="0"/>
              <w:jc w:val="center"/>
              <w:rPr>
                <w:rFonts w:ascii="Times New Roman" w:hAnsi="宋体" w:eastAsia="宋体" w:cs="宋体"/>
                <w:color w:val="000000" w:themeColor="text1"/>
                <w:kern w:val="0"/>
                <w:sz w:val="24"/>
                <w:lang w:val="zh-CN" w:bidi="zh-CN"/>
                <w14:textFill>
                  <w14:solidFill>
                    <w14:schemeClr w14:val="tx1"/>
                  </w14:solidFill>
                </w14:textFill>
              </w:rPr>
            </w:pPr>
            <w:r>
              <w:rPr>
                <w:rFonts w:hint="eastAsia" w:ascii="Times New Roman" w:hAnsi="宋体" w:eastAsia="宋体" w:cs="宋体"/>
                <w:color w:val="000000" w:themeColor="text1"/>
                <w:kern w:val="0"/>
                <w:sz w:val="24"/>
                <w:lang w:val="zh-CN" w:bidi="zh-CN"/>
                <w14:textFill>
                  <w14:solidFill>
                    <w14:schemeClr w14:val="tx1"/>
                  </w14:solidFill>
                </w14:textFill>
              </w:rPr>
              <w:t>预购</w:t>
            </w:r>
          </w:p>
        </w:tc>
        <w:tc>
          <w:tcPr>
            <w:tcW w:w="1916"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30000/台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摇摆式制粒机</w:t>
            </w:r>
          </w:p>
        </w:tc>
        <w:tc>
          <w:tcPr>
            <w:tcW w:w="1768" w:type="dxa"/>
          </w:tcPr>
          <w:p>
            <w:pPr>
              <w:widowControl/>
              <w:jc w:val="center"/>
              <w:outlineLvl w:val="0"/>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YK160B</w:t>
            </w:r>
          </w:p>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p>
        </w:tc>
        <w:tc>
          <w:tcPr>
            <w:tcW w:w="1985"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1</w:t>
            </w:r>
          </w:p>
        </w:tc>
        <w:tc>
          <w:tcPr>
            <w:tcW w:w="1668" w:type="dxa"/>
          </w:tcPr>
          <w:p>
            <w:pPr>
              <w:autoSpaceDE w:val="0"/>
              <w:autoSpaceDN w:val="0"/>
              <w:jc w:val="center"/>
              <w:rPr>
                <w:rFonts w:ascii="Times New Roman" w:hAnsi="宋体" w:eastAsia="宋体" w:cs="宋体"/>
                <w:color w:val="000000" w:themeColor="text1"/>
                <w:kern w:val="0"/>
                <w:sz w:val="24"/>
                <w:lang w:val="zh-CN" w:bidi="zh-CN"/>
                <w14:textFill>
                  <w14:solidFill>
                    <w14:schemeClr w14:val="tx1"/>
                  </w14:solidFill>
                </w14:textFill>
              </w:rPr>
            </w:pPr>
            <w:r>
              <w:rPr>
                <w:rFonts w:hint="eastAsia" w:ascii="Times New Roman" w:hAnsi="宋体" w:eastAsia="宋体" w:cs="宋体"/>
                <w:color w:val="000000" w:themeColor="text1"/>
                <w:kern w:val="0"/>
                <w:sz w:val="24"/>
                <w:lang w:val="zh-CN" w:bidi="zh-CN"/>
                <w14:textFill>
                  <w14:solidFill>
                    <w14:schemeClr w14:val="tx1"/>
                  </w14:solidFill>
                </w14:textFill>
              </w:rPr>
              <w:t>预购</w:t>
            </w:r>
          </w:p>
        </w:tc>
        <w:tc>
          <w:tcPr>
            <w:tcW w:w="1916"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10000/台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widowControl/>
              <w:jc w:val="center"/>
              <w:outlineLvl w:val="0"/>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药用型GMP烘箱</w:t>
            </w:r>
          </w:p>
          <w:p>
            <w:pPr>
              <w:autoSpaceDE w:val="0"/>
              <w:autoSpaceDN w:val="0"/>
              <w:jc w:val="center"/>
              <w:rPr>
                <w:rFonts w:ascii="Times New Roman" w:hAnsi="宋体" w:eastAsia="宋体" w:cs="宋体"/>
                <w:color w:val="000000" w:themeColor="text1"/>
                <w:kern w:val="0"/>
                <w:sz w:val="24"/>
                <w:lang w:val="zh-CN" w:bidi="zh-CN"/>
                <w14:textFill>
                  <w14:solidFill>
                    <w14:schemeClr w14:val="tx1"/>
                  </w14:solidFill>
                </w14:textFill>
              </w:rPr>
            </w:pPr>
          </w:p>
        </w:tc>
        <w:tc>
          <w:tcPr>
            <w:tcW w:w="1768"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GMP-O</w:t>
            </w:r>
          </w:p>
        </w:tc>
        <w:tc>
          <w:tcPr>
            <w:tcW w:w="1985"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1</w:t>
            </w:r>
          </w:p>
        </w:tc>
        <w:tc>
          <w:tcPr>
            <w:tcW w:w="1668" w:type="dxa"/>
          </w:tcPr>
          <w:p>
            <w:pPr>
              <w:autoSpaceDE w:val="0"/>
              <w:autoSpaceDN w:val="0"/>
              <w:jc w:val="center"/>
              <w:rPr>
                <w:rFonts w:ascii="Times New Roman" w:hAnsi="宋体" w:eastAsia="宋体" w:cs="宋体"/>
                <w:color w:val="000000" w:themeColor="text1"/>
                <w:kern w:val="0"/>
                <w:sz w:val="24"/>
                <w:lang w:val="zh-CN" w:bidi="zh-CN"/>
                <w14:textFill>
                  <w14:solidFill>
                    <w14:schemeClr w14:val="tx1"/>
                  </w14:solidFill>
                </w14:textFill>
              </w:rPr>
            </w:pPr>
            <w:r>
              <w:rPr>
                <w:rFonts w:hint="eastAsia" w:ascii="Times New Roman" w:hAnsi="宋体" w:eastAsia="宋体" w:cs="宋体"/>
                <w:color w:val="000000" w:themeColor="text1"/>
                <w:kern w:val="0"/>
                <w:sz w:val="24"/>
                <w:lang w:val="zh-CN" w:bidi="zh-CN"/>
                <w14:textFill>
                  <w14:solidFill>
                    <w14:schemeClr w14:val="tx1"/>
                  </w14:solidFill>
                </w14:textFill>
              </w:rPr>
              <w:t>预购</w:t>
            </w:r>
          </w:p>
        </w:tc>
        <w:tc>
          <w:tcPr>
            <w:tcW w:w="1916"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25000/台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autoSpaceDE w:val="0"/>
              <w:autoSpaceDN w:val="0"/>
              <w:jc w:val="center"/>
              <w:rPr>
                <w:rFonts w:ascii="Times New Roman" w:hAnsi="宋体" w:eastAsia="宋体" w:cs="宋体"/>
                <w:color w:val="000000" w:themeColor="text1"/>
                <w:kern w:val="0"/>
                <w:sz w:val="24"/>
                <w:lang w:val="zh-CN"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高速压片机</w:t>
            </w:r>
          </w:p>
        </w:tc>
        <w:tc>
          <w:tcPr>
            <w:tcW w:w="1768"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ZP33D</w:t>
            </w:r>
          </w:p>
        </w:tc>
        <w:tc>
          <w:tcPr>
            <w:tcW w:w="1985"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1</w:t>
            </w:r>
          </w:p>
        </w:tc>
        <w:tc>
          <w:tcPr>
            <w:tcW w:w="1668" w:type="dxa"/>
          </w:tcPr>
          <w:p>
            <w:pPr>
              <w:autoSpaceDE w:val="0"/>
              <w:autoSpaceDN w:val="0"/>
              <w:jc w:val="center"/>
              <w:rPr>
                <w:rFonts w:ascii="Times New Roman" w:hAnsi="宋体" w:eastAsia="宋体" w:cs="宋体"/>
                <w:color w:val="000000" w:themeColor="text1"/>
                <w:kern w:val="0"/>
                <w:sz w:val="24"/>
                <w:lang w:val="zh-CN" w:bidi="zh-CN"/>
                <w14:textFill>
                  <w14:solidFill>
                    <w14:schemeClr w14:val="tx1"/>
                  </w14:solidFill>
                </w14:textFill>
              </w:rPr>
            </w:pPr>
            <w:r>
              <w:rPr>
                <w:rFonts w:hint="eastAsia" w:ascii="Times New Roman" w:hAnsi="宋体" w:eastAsia="宋体" w:cs="宋体"/>
                <w:color w:val="000000" w:themeColor="text1"/>
                <w:kern w:val="0"/>
                <w:sz w:val="24"/>
                <w:lang w:val="zh-CN" w:bidi="zh-CN"/>
                <w14:textFill>
                  <w14:solidFill>
                    <w14:schemeClr w14:val="tx1"/>
                  </w14:solidFill>
                </w14:textFill>
              </w:rPr>
              <w:t>预购</w:t>
            </w:r>
          </w:p>
        </w:tc>
        <w:tc>
          <w:tcPr>
            <w:tcW w:w="1916"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100000/台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fldChar w:fldCharType="begin"/>
            </w:r>
            <w:r>
              <w:instrText xml:space="preserve"> HYPERLINK "http://www.pm8.cn/product/617519.html" \t "http://www.pm8.cn/product/_blank" \o "全自动胶囊填充机(NJP-200)" </w:instrText>
            </w:r>
            <w:r>
              <w:fldChar w:fldCharType="separate"/>
            </w:r>
            <w:r>
              <w:rPr>
                <w:rFonts w:hint="eastAsia" w:ascii="Times New Roman" w:hAnsi="宋体" w:eastAsia="宋体" w:cs="宋体"/>
                <w:color w:val="000000" w:themeColor="text1"/>
                <w:kern w:val="0"/>
                <w:sz w:val="24"/>
                <w:lang w:bidi="zh-CN"/>
                <w14:textFill>
                  <w14:solidFill>
                    <w14:schemeClr w14:val="tx1"/>
                  </w14:solidFill>
                </w14:textFill>
              </w:rPr>
              <w:t>全自动胶囊填充机</w:t>
            </w:r>
            <w:r>
              <w:rPr>
                <w:rFonts w:hint="eastAsia" w:ascii="Times New Roman" w:hAnsi="宋体" w:eastAsia="宋体" w:cs="宋体"/>
                <w:color w:val="000000" w:themeColor="text1"/>
                <w:kern w:val="0"/>
                <w:sz w:val="24"/>
                <w:lang w:bidi="zh-CN"/>
                <w14:textFill>
                  <w14:solidFill>
                    <w14:schemeClr w14:val="tx1"/>
                  </w14:solidFill>
                </w14:textFill>
              </w:rPr>
              <w:fldChar w:fldCharType="end"/>
            </w:r>
          </w:p>
        </w:tc>
        <w:tc>
          <w:tcPr>
            <w:tcW w:w="1768"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NJP-200</w:t>
            </w:r>
          </w:p>
        </w:tc>
        <w:tc>
          <w:tcPr>
            <w:tcW w:w="1985"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1</w:t>
            </w:r>
          </w:p>
        </w:tc>
        <w:tc>
          <w:tcPr>
            <w:tcW w:w="1668" w:type="dxa"/>
          </w:tcPr>
          <w:p>
            <w:pPr>
              <w:autoSpaceDE w:val="0"/>
              <w:autoSpaceDN w:val="0"/>
              <w:jc w:val="center"/>
              <w:rPr>
                <w:rFonts w:ascii="Times New Roman" w:hAnsi="宋体" w:eastAsia="宋体" w:cs="宋体"/>
                <w:color w:val="000000" w:themeColor="text1"/>
                <w:kern w:val="0"/>
                <w:sz w:val="24"/>
                <w:lang w:val="zh-CN" w:bidi="zh-CN"/>
                <w14:textFill>
                  <w14:solidFill>
                    <w14:schemeClr w14:val="tx1"/>
                  </w14:solidFill>
                </w14:textFill>
              </w:rPr>
            </w:pPr>
            <w:r>
              <w:rPr>
                <w:rFonts w:hint="eastAsia" w:ascii="Times New Roman" w:hAnsi="宋体" w:eastAsia="宋体" w:cs="宋体"/>
                <w:color w:val="000000" w:themeColor="text1"/>
                <w:kern w:val="0"/>
                <w:sz w:val="24"/>
                <w:lang w:val="zh-CN" w:bidi="zh-CN"/>
                <w14:textFill>
                  <w14:solidFill>
                    <w14:schemeClr w14:val="tx1"/>
                  </w14:solidFill>
                </w14:textFill>
              </w:rPr>
              <w:t>预购</w:t>
            </w:r>
          </w:p>
        </w:tc>
        <w:tc>
          <w:tcPr>
            <w:tcW w:w="1916"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88000/台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雷诺实验装置</w:t>
            </w:r>
          </w:p>
        </w:tc>
        <w:tc>
          <w:tcPr>
            <w:tcW w:w="1768"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p>
        </w:tc>
        <w:tc>
          <w:tcPr>
            <w:tcW w:w="1985"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2</w:t>
            </w:r>
          </w:p>
        </w:tc>
        <w:tc>
          <w:tcPr>
            <w:tcW w:w="1668" w:type="dxa"/>
          </w:tcPr>
          <w:p>
            <w:pPr>
              <w:autoSpaceDE w:val="0"/>
              <w:autoSpaceDN w:val="0"/>
              <w:jc w:val="center"/>
              <w:rPr>
                <w:rFonts w:ascii="Times New Roman" w:hAnsi="宋体" w:eastAsia="宋体" w:cs="宋体"/>
                <w:color w:val="000000" w:themeColor="text1"/>
                <w:kern w:val="0"/>
                <w:sz w:val="24"/>
                <w:lang w:val="zh-CN" w:bidi="zh-CN"/>
                <w14:textFill>
                  <w14:solidFill>
                    <w14:schemeClr w14:val="tx1"/>
                  </w14:solidFill>
                </w14:textFill>
              </w:rPr>
            </w:pPr>
            <w:r>
              <w:rPr>
                <w:rFonts w:hint="eastAsia" w:ascii="Times New Roman" w:hAnsi="宋体" w:eastAsia="宋体" w:cs="宋体"/>
                <w:color w:val="000000" w:themeColor="text1"/>
                <w:kern w:val="0"/>
                <w:sz w:val="24"/>
                <w:lang w:val="zh-CN" w:bidi="zh-CN"/>
                <w14:textFill>
                  <w14:solidFill>
                    <w14:schemeClr w14:val="tx1"/>
                  </w14:solidFill>
                </w14:textFill>
              </w:rPr>
              <w:t>预购</w:t>
            </w:r>
          </w:p>
        </w:tc>
        <w:tc>
          <w:tcPr>
            <w:tcW w:w="1916"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10000/台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伯努利方程实验</w:t>
            </w:r>
          </w:p>
        </w:tc>
        <w:tc>
          <w:tcPr>
            <w:tcW w:w="1768"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p>
        </w:tc>
        <w:tc>
          <w:tcPr>
            <w:tcW w:w="1985"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2</w:t>
            </w:r>
          </w:p>
        </w:tc>
        <w:tc>
          <w:tcPr>
            <w:tcW w:w="1668" w:type="dxa"/>
          </w:tcPr>
          <w:p>
            <w:pPr>
              <w:autoSpaceDE w:val="0"/>
              <w:autoSpaceDN w:val="0"/>
              <w:jc w:val="center"/>
              <w:rPr>
                <w:rFonts w:ascii="Times New Roman" w:hAnsi="宋体" w:eastAsia="宋体" w:cs="宋体"/>
                <w:color w:val="000000" w:themeColor="text1"/>
                <w:kern w:val="0"/>
                <w:sz w:val="24"/>
                <w:lang w:val="zh-CN" w:bidi="zh-CN"/>
                <w14:textFill>
                  <w14:solidFill>
                    <w14:schemeClr w14:val="tx1"/>
                  </w14:solidFill>
                </w14:textFill>
              </w:rPr>
            </w:pPr>
            <w:r>
              <w:rPr>
                <w:rFonts w:hint="eastAsia" w:ascii="Times New Roman" w:hAnsi="宋体" w:eastAsia="宋体" w:cs="宋体"/>
                <w:color w:val="000000" w:themeColor="text1"/>
                <w:kern w:val="0"/>
                <w:sz w:val="24"/>
                <w:lang w:val="zh-CN" w:bidi="zh-CN"/>
                <w14:textFill>
                  <w14:solidFill>
                    <w14:schemeClr w14:val="tx1"/>
                  </w14:solidFill>
                </w14:textFill>
              </w:rPr>
              <w:t>预购</w:t>
            </w:r>
          </w:p>
        </w:tc>
        <w:tc>
          <w:tcPr>
            <w:tcW w:w="1916"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10000/台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传热实验</w:t>
            </w:r>
          </w:p>
        </w:tc>
        <w:tc>
          <w:tcPr>
            <w:tcW w:w="1768"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p>
        </w:tc>
        <w:tc>
          <w:tcPr>
            <w:tcW w:w="1985"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2</w:t>
            </w:r>
          </w:p>
        </w:tc>
        <w:tc>
          <w:tcPr>
            <w:tcW w:w="1668" w:type="dxa"/>
          </w:tcPr>
          <w:p>
            <w:pPr>
              <w:autoSpaceDE w:val="0"/>
              <w:autoSpaceDN w:val="0"/>
              <w:jc w:val="center"/>
              <w:rPr>
                <w:rFonts w:ascii="Times New Roman" w:hAnsi="宋体" w:eastAsia="宋体" w:cs="宋体"/>
                <w:color w:val="000000" w:themeColor="text1"/>
                <w:kern w:val="0"/>
                <w:sz w:val="24"/>
                <w:lang w:val="zh-CN" w:bidi="zh-CN"/>
                <w14:textFill>
                  <w14:solidFill>
                    <w14:schemeClr w14:val="tx1"/>
                  </w14:solidFill>
                </w14:textFill>
              </w:rPr>
            </w:pPr>
            <w:r>
              <w:rPr>
                <w:rFonts w:hint="eastAsia" w:ascii="Times New Roman" w:hAnsi="宋体" w:eastAsia="宋体" w:cs="宋体"/>
                <w:color w:val="000000" w:themeColor="text1"/>
                <w:kern w:val="0"/>
                <w:sz w:val="24"/>
                <w:lang w:val="zh-CN" w:bidi="zh-CN"/>
                <w14:textFill>
                  <w14:solidFill>
                    <w14:schemeClr w14:val="tx1"/>
                  </w14:solidFill>
                </w14:textFill>
              </w:rPr>
              <w:t>预购</w:t>
            </w:r>
          </w:p>
        </w:tc>
        <w:tc>
          <w:tcPr>
            <w:tcW w:w="1916"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22000/台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精馏实验</w:t>
            </w:r>
          </w:p>
        </w:tc>
        <w:tc>
          <w:tcPr>
            <w:tcW w:w="1768"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p>
        </w:tc>
        <w:tc>
          <w:tcPr>
            <w:tcW w:w="1985"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2</w:t>
            </w:r>
          </w:p>
        </w:tc>
        <w:tc>
          <w:tcPr>
            <w:tcW w:w="1668" w:type="dxa"/>
          </w:tcPr>
          <w:p>
            <w:pPr>
              <w:autoSpaceDE w:val="0"/>
              <w:autoSpaceDN w:val="0"/>
              <w:jc w:val="center"/>
              <w:rPr>
                <w:rFonts w:ascii="Times New Roman" w:hAnsi="宋体" w:eastAsia="宋体" w:cs="宋体"/>
                <w:color w:val="000000" w:themeColor="text1"/>
                <w:kern w:val="0"/>
                <w:sz w:val="24"/>
                <w:lang w:val="zh-CN" w:bidi="zh-CN"/>
                <w14:textFill>
                  <w14:solidFill>
                    <w14:schemeClr w14:val="tx1"/>
                  </w14:solidFill>
                </w14:textFill>
              </w:rPr>
            </w:pPr>
            <w:r>
              <w:rPr>
                <w:rFonts w:hint="eastAsia" w:ascii="Times New Roman" w:hAnsi="宋体" w:eastAsia="宋体" w:cs="宋体"/>
                <w:color w:val="000000" w:themeColor="text1"/>
                <w:kern w:val="0"/>
                <w:sz w:val="24"/>
                <w:lang w:val="zh-CN" w:bidi="zh-CN"/>
                <w14:textFill>
                  <w14:solidFill>
                    <w14:schemeClr w14:val="tx1"/>
                  </w14:solidFill>
                </w14:textFill>
              </w:rPr>
              <w:t>预购</w:t>
            </w:r>
          </w:p>
        </w:tc>
        <w:tc>
          <w:tcPr>
            <w:tcW w:w="1916"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50000/台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干燥实验</w:t>
            </w:r>
          </w:p>
        </w:tc>
        <w:tc>
          <w:tcPr>
            <w:tcW w:w="1768"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p>
        </w:tc>
        <w:tc>
          <w:tcPr>
            <w:tcW w:w="1985"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2</w:t>
            </w:r>
          </w:p>
        </w:tc>
        <w:tc>
          <w:tcPr>
            <w:tcW w:w="1668" w:type="dxa"/>
          </w:tcPr>
          <w:p>
            <w:pPr>
              <w:autoSpaceDE w:val="0"/>
              <w:autoSpaceDN w:val="0"/>
              <w:jc w:val="center"/>
              <w:rPr>
                <w:rFonts w:ascii="Times New Roman" w:hAnsi="宋体" w:eastAsia="宋体" w:cs="宋体"/>
                <w:color w:val="000000" w:themeColor="text1"/>
                <w:kern w:val="0"/>
                <w:sz w:val="24"/>
                <w:lang w:val="zh-CN" w:bidi="zh-CN"/>
                <w14:textFill>
                  <w14:solidFill>
                    <w14:schemeClr w14:val="tx1"/>
                  </w14:solidFill>
                </w14:textFill>
              </w:rPr>
            </w:pPr>
            <w:r>
              <w:rPr>
                <w:rFonts w:hint="eastAsia" w:ascii="Times New Roman" w:hAnsi="宋体" w:eastAsia="宋体" w:cs="宋体"/>
                <w:color w:val="000000" w:themeColor="text1"/>
                <w:kern w:val="0"/>
                <w:sz w:val="24"/>
                <w:lang w:val="zh-CN" w:bidi="zh-CN"/>
                <w14:textFill>
                  <w14:solidFill>
                    <w14:schemeClr w14:val="tx1"/>
                  </w14:solidFill>
                </w14:textFill>
              </w:rPr>
              <w:t>预购</w:t>
            </w:r>
          </w:p>
        </w:tc>
        <w:tc>
          <w:tcPr>
            <w:tcW w:w="1916" w:type="dxa"/>
          </w:tcPr>
          <w:p>
            <w:pPr>
              <w:autoSpaceDE w:val="0"/>
              <w:autoSpaceDN w:val="0"/>
              <w:jc w:val="center"/>
              <w:rPr>
                <w:rFonts w:ascii="Times New Roman" w:hAnsi="宋体" w:eastAsia="宋体" w:cs="宋体"/>
                <w:color w:val="000000" w:themeColor="text1"/>
                <w:kern w:val="0"/>
                <w:sz w:val="24"/>
                <w:lang w:bidi="zh-CN"/>
                <w14:textFill>
                  <w14:solidFill>
                    <w14:schemeClr w14:val="tx1"/>
                  </w14:solidFill>
                </w14:textFill>
              </w:rPr>
            </w:pPr>
            <w:r>
              <w:rPr>
                <w:rFonts w:hint="eastAsia" w:ascii="Times New Roman" w:hAnsi="宋体" w:eastAsia="宋体" w:cs="宋体"/>
                <w:color w:val="000000" w:themeColor="text1"/>
                <w:kern w:val="0"/>
                <w:sz w:val="24"/>
                <w:lang w:bidi="zh-CN"/>
                <w14:textFill>
                  <w14:solidFill>
                    <w14:schemeClr w14:val="tx1"/>
                  </w14:solidFill>
                </w14:textFill>
              </w:rPr>
              <w:t>30000/台</w:t>
            </w:r>
          </w:p>
        </w:tc>
      </w:tr>
    </w:tbl>
    <w:p>
      <w:pPr>
        <w:spacing w:before="156" w:beforeLines="50" w:line="360" w:lineRule="auto"/>
        <w:rPr>
          <w:rFonts w:ascii="宋体" w:hAnsi="宋体" w:eastAsia="宋体" w:cs="Times New Roman"/>
          <w:szCs w:val="21"/>
        </w:rPr>
      </w:pPr>
      <w:r>
        <w:rPr>
          <w:rFonts w:hint="eastAsia" w:ascii="宋体" w:hAnsi="宋体" w:eastAsia="宋体" w:cs="Times New Roman"/>
          <w:b/>
          <w:bCs/>
          <w:sz w:val="24"/>
          <w:szCs w:val="24"/>
        </w:rPr>
        <w:t>3、校外实训基地</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以中药制药专业课程体系和实践教学改革为突破口，以强化产教融合，深化校企合作为指导，以提高学生综合素质和服务社会能力为核心，从制药装备设计与生产、中药饮片生产、保健品生产到中成药生产，建立完整的合作企业网络与校外实习基地。清平药材市场是东南亚重要的贵细中药集散地，可与敬修堂、奇星、王老吉等一批百年老字号中药制药企业和广药集团、白云山和黄集团、丽珠集团等中药科技创新企业合作，作为实训基地。目前实训基地有</w:t>
      </w:r>
      <w:r>
        <w:rPr>
          <w:rFonts w:ascii="宋体" w:hAnsi="宋体" w:eastAsia="宋体" w:cs="Times New Roman"/>
          <w:sz w:val="24"/>
          <w:szCs w:val="24"/>
        </w:rPr>
        <w:t>5</w:t>
      </w:r>
      <w:r>
        <w:rPr>
          <w:rFonts w:hint="eastAsia" w:ascii="宋体" w:hAnsi="宋体" w:eastAsia="宋体" w:cs="Times New Roman"/>
          <w:sz w:val="24"/>
          <w:szCs w:val="24"/>
        </w:rPr>
        <w:t>家，计划三年内每年拓展</w:t>
      </w:r>
      <w:r>
        <w:rPr>
          <w:rFonts w:ascii="宋体" w:hAnsi="宋体" w:eastAsia="宋体" w:cs="Times New Roman"/>
          <w:sz w:val="24"/>
          <w:szCs w:val="24"/>
        </w:rPr>
        <w:t>5</w:t>
      </w:r>
      <w:r>
        <w:rPr>
          <w:rFonts w:hint="eastAsia" w:ascii="宋体" w:hAnsi="宋体" w:eastAsia="宋体" w:cs="Times New Roman"/>
          <w:sz w:val="24"/>
          <w:szCs w:val="24"/>
        </w:rPr>
        <w:t>家，达到</w:t>
      </w:r>
      <w:r>
        <w:rPr>
          <w:rFonts w:ascii="宋体" w:hAnsi="宋体" w:eastAsia="宋体" w:cs="Times New Roman"/>
          <w:sz w:val="24"/>
          <w:szCs w:val="24"/>
        </w:rPr>
        <w:t>20</w:t>
      </w:r>
      <w:r>
        <w:rPr>
          <w:rFonts w:hint="eastAsia" w:ascii="宋体" w:hAnsi="宋体" w:eastAsia="宋体" w:cs="Times New Roman"/>
          <w:sz w:val="24"/>
          <w:szCs w:val="24"/>
        </w:rPr>
        <w:t>家以上。</w:t>
      </w:r>
    </w:p>
    <w:p>
      <w:pPr>
        <w:spacing w:line="360" w:lineRule="auto"/>
        <w:rPr>
          <w:rFonts w:ascii="宋体" w:hAnsi="宋体" w:eastAsia="宋体" w:cs="Times New Roman"/>
          <w:szCs w:val="21"/>
        </w:rPr>
      </w:pPr>
    </w:p>
    <w:tbl>
      <w:tblPr>
        <w:tblStyle w:val="6"/>
        <w:tblW w:w="7292" w:type="dxa"/>
        <w:jc w:val="center"/>
        <w:tblLayout w:type="fixed"/>
        <w:tblCellMar>
          <w:top w:w="0" w:type="dxa"/>
          <w:left w:w="108" w:type="dxa"/>
          <w:bottom w:w="0" w:type="dxa"/>
          <w:right w:w="108" w:type="dxa"/>
        </w:tblCellMar>
      </w:tblPr>
      <w:tblGrid>
        <w:gridCol w:w="1039"/>
        <w:gridCol w:w="6253"/>
      </w:tblGrid>
      <w:tr>
        <w:tblPrEx>
          <w:tblCellMar>
            <w:top w:w="0" w:type="dxa"/>
            <w:left w:w="108" w:type="dxa"/>
            <w:bottom w:w="0" w:type="dxa"/>
            <w:right w:w="108" w:type="dxa"/>
          </w:tblCellMar>
        </w:tblPrEx>
        <w:trPr>
          <w:trHeight w:val="385" w:hRule="atLeast"/>
          <w:jc w:val="center"/>
        </w:trPr>
        <w:tc>
          <w:tcPr>
            <w:tcW w:w="1039" w:type="dxa"/>
            <w:tcBorders>
              <w:top w:val="single" w:color="auto" w:sz="2" w:space="0"/>
              <w:left w:val="single" w:color="auto" w:sz="12" w:space="0"/>
              <w:bottom w:val="single" w:color="auto" w:sz="2" w:space="0"/>
              <w:right w:val="single" w:color="auto" w:sz="2" w:space="0"/>
            </w:tcBorders>
            <w:vAlign w:val="center"/>
          </w:tcPr>
          <w:p>
            <w:pPr>
              <w:widowControl/>
              <w:jc w:val="center"/>
              <w:rPr>
                <w:rFonts w:ascii="宋体" w:hAnsi="宋体" w:eastAsia="宋体" w:cs="Times New Roman"/>
                <w:sz w:val="24"/>
                <w:szCs w:val="24"/>
              </w:rPr>
            </w:pPr>
            <w:r>
              <w:rPr>
                <w:rFonts w:hint="eastAsia" w:ascii="宋体" w:hAnsi="宋体" w:eastAsia="宋体" w:cs="Times New Roman"/>
                <w:sz w:val="24"/>
                <w:szCs w:val="24"/>
              </w:rPr>
              <w:t>序号</w:t>
            </w:r>
          </w:p>
        </w:tc>
        <w:tc>
          <w:tcPr>
            <w:tcW w:w="6253" w:type="dxa"/>
            <w:tcBorders>
              <w:top w:val="single" w:color="auto" w:sz="2" w:space="0"/>
              <w:left w:val="single" w:color="auto" w:sz="2" w:space="0"/>
              <w:bottom w:val="single" w:color="auto" w:sz="2" w:space="0"/>
              <w:right w:val="single" w:color="auto" w:sz="2" w:space="0"/>
            </w:tcBorders>
            <w:vAlign w:val="center"/>
          </w:tcPr>
          <w:p>
            <w:pPr>
              <w:widowControl/>
              <w:jc w:val="center"/>
              <w:rPr>
                <w:rFonts w:ascii="宋体" w:hAnsi="宋体" w:eastAsia="宋体" w:cs="Times New Roman"/>
                <w:sz w:val="24"/>
                <w:szCs w:val="24"/>
              </w:rPr>
            </w:pPr>
            <w:r>
              <w:rPr>
                <w:rFonts w:hint="eastAsia" w:ascii="宋体" w:hAnsi="宋体" w:eastAsia="宋体" w:cs="Times New Roman"/>
                <w:sz w:val="24"/>
                <w:szCs w:val="24"/>
              </w:rPr>
              <w:t>名称/实践基地</w:t>
            </w:r>
          </w:p>
        </w:tc>
      </w:tr>
      <w:tr>
        <w:tblPrEx>
          <w:tblCellMar>
            <w:top w:w="0" w:type="dxa"/>
            <w:left w:w="108" w:type="dxa"/>
            <w:bottom w:w="0" w:type="dxa"/>
            <w:right w:w="108" w:type="dxa"/>
          </w:tblCellMar>
        </w:tblPrEx>
        <w:trPr>
          <w:trHeight w:val="384" w:hRule="atLeast"/>
          <w:jc w:val="center"/>
        </w:trPr>
        <w:tc>
          <w:tcPr>
            <w:tcW w:w="1039" w:type="dxa"/>
            <w:tcBorders>
              <w:top w:val="single" w:color="auto" w:sz="2" w:space="0"/>
              <w:left w:val="single" w:color="auto" w:sz="12" w:space="0"/>
              <w:bottom w:val="single" w:color="auto" w:sz="2" w:space="0"/>
              <w:right w:val="single" w:color="auto" w:sz="2" w:space="0"/>
            </w:tcBorders>
            <w:vAlign w:val="center"/>
          </w:tcPr>
          <w:p>
            <w:pPr>
              <w:widowControl/>
              <w:jc w:val="center"/>
              <w:rPr>
                <w:rFonts w:ascii="宋体" w:hAnsi="宋体" w:eastAsia="宋体" w:cs="Times New Roman"/>
                <w:sz w:val="24"/>
                <w:szCs w:val="24"/>
              </w:rPr>
            </w:pPr>
            <w:r>
              <w:rPr>
                <w:rFonts w:hint="eastAsia" w:ascii="宋体" w:hAnsi="宋体" w:eastAsia="宋体" w:cs="Times New Roman"/>
                <w:sz w:val="24"/>
                <w:szCs w:val="24"/>
              </w:rPr>
              <w:t>1</w:t>
            </w:r>
          </w:p>
        </w:tc>
        <w:tc>
          <w:tcPr>
            <w:tcW w:w="6253" w:type="dxa"/>
            <w:tcBorders>
              <w:top w:val="single" w:color="auto" w:sz="2" w:space="0"/>
              <w:left w:val="single" w:color="auto" w:sz="2" w:space="0"/>
              <w:bottom w:val="single" w:color="auto" w:sz="2" w:space="0"/>
              <w:right w:val="single" w:color="auto" w:sz="2" w:space="0"/>
            </w:tcBorders>
            <w:vAlign w:val="center"/>
          </w:tcPr>
          <w:p>
            <w:pPr>
              <w:widowControl/>
              <w:jc w:val="center"/>
              <w:rPr>
                <w:rFonts w:ascii="宋体" w:hAnsi="宋体" w:eastAsia="宋体" w:cs="Times New Roman"/>
                <w:sz w:val="24"/>
                <w:szCs w:val="24"/>
              </w:rPr>
            </w:pPr>
            <w:r>
              <w:rPr>
                <w:rFonts w:hint="eastAsia" w:ascii="宋体" w:hAnsi="宋体" w:eastAsia="宋体" w:cs="Times New Roman"/>
                <w:sz w:val="24"/>
                <w:szCs w:val="24"/>
              </w:rPr>
              <w:t>云康集团</w:t>
            </w:r>
          </w:p>
        </w:tc>
      </w:tr>
      <w:tr>
        <w:tblPrEx>
          <w:tblCellMar>
            <w:top w:w="0" w:type="dxa"/>
            <w:left w:w="108" w:type="dxa"/>
            <w:bottom w:w="0" w:type="dxa"/>
            <w:right w:w="108" w:type="dxa"/>
          </w:tblCellMar>
        </w:tblPrEx>
        <w:trPr>
          <w:trHeight w:val="384" w:hRule="atLeast"/>
          <w:jc w:val="center"/>
        </w:trPr>
        <w:tc>
          <w:tcPr>
            <w:tcW w:w="1039" w:type="dxa"/>
            <w:tcBorders>
              <w:top w:val="single" w:color="auto" w:sz="2" w:space="0"/>
              <w:left w:val="single" w:color="auto" w:sz="12" w:space="0"/>
              <w:bottom w:val="single" w:color="auto" w:sz="2" w:space="0"/>
              <w:right w:val="single" w:color="auto" w:sz="2" w:space="0"/>
            </w:tcBorders>
            <w:vAlign w:val="center"/>
          </w:tcPr>
          <w:p>
            <w:pPr>
              <w:widowControl/>
              <w:jc w:val="center"/>
              <w:rPr>
                <w:rFonts w:ascii="宋体" w:hAnsi="宋体" w:eastAsia="宋体" w:cs="Times New Roman"/>
                <w:sz w:val="24"/>
                <w:szCs w:val="24"/>
              </w:rPr>
            </w:pPr>
            <w:r>
              <w:rPr>
                <w:rFonts w:hint="eastAsia" w:ascii="宋体" w:hAnsi="宋体" w:eastAsia="宋体" w:cs="Times New Roman"/>
                <w:sz w:val="24"/>
                <w:szCs w:val="24"/>
              </w:rPr>
              <w:t>2</w:t>
            </w:r>
          </w:p>
        </w:tc>
        <w:tc>
          <w:tcPr>
            <w:tcW w:w="6253" w:type="dxa"/>
            <w:tcBorders>
              <w:top w:val="single" w:color="auto" w:sz="2" w:space="0"/>
              <w:left w:val="single" w:color="auto" w:sz="2" w:space="0"/>
              <w:bottom w:val="single" w:color="auto" w:sz="2" w:space="0"/>
              <w:right w:val="single" w:color="auto" w:sz="2" w:space="0"/>
            </w:tcBorders>
            <w:vAlign w:val="center"/>
          </w:tcPr>
          <w:p>
            <w:pPr>
              <w:widowControl/>
              <w:jc w:val="center"/>
              <w:rPr>
                <w:rFonts w:ascii="宋体" w:hAnsi="宋体" w:eastAsia="宋体" w:cs="Times New Roman"/>
                <w:sz w:val="24"/>
                <w:szCs w:val="24"/>
              </w:rPr>
            </w:pPr>
            <w:r>
              <w:rPr>
                <w:rFonts w:hint="eastAsia" w:ascii="宋体" w:hAnsi="宋体" w:eastAsia="宋体" w:cs="Times New Roman"/>
                <w:sz w:val="24"/>
                <w:szCs w:val="24"/>
              </w:rPr>
              <w:t>深圳市康宁医院</w:t>
            </w:r>
          </w:p>
        </w:tc>
      </w:tr>
      <w:tr>
        <w:tblPrEx>
          <w:tblCellMar>
            <w:top w:w="0" w:type="dxa"/>
            <w:left w:w="108" w:type="dxa"/>
            <w:bottom w:w="0" w:type="dxa"/>
            <w:right w:w="108" w:type="dxa"/>
          </w:tblCellMar>
        </w:tblPrEx>
        <w:trPr>
          <w:trHeight w:val="384" w:hRule="atLeast"/>
          <w:jc w:val="center"/>
        </w:trPr>
        <w:tc>
          <w:tcPr>
            <w:tcW w:w="1039" w:type="dxa"/>
            <w:tcBorders>
              <w:top w:val="single" w:color="auto" w:sz="2" w:space="0"/>
              <w:left w:val="single" w:color="auto" w:sz="12" w:space="0"/>
              <w:bottom w:val="single" w:color="auto" w:sz="2" w:space="0"/>
              <w:right w:val="single" w:color="auto" w:sz="2" w:space="0"/>
            </w:tcBorders>
            <w:vAlign w:val="center"/>
          </w:tcPr>
          <w:p>
            <w:pPr>
              <w:widowControl/>
              <w:jc w:val="center"/>
              <w:rPr>
                <w:rFonts w:ascii="宋体" w:hAnsi="宋体" w:eastAsia="宋体" w:cs="Times New Roman"/>
                <w:sz w:val="24"/>
                <w:szCs w:val="24"/>
              </w:rPr>
            </w:pPr>
            <w:r>
              <w:rPr>
                <w:rFonts w:hint="eastAsia" w:ascii="宋体" w:hAnsi="宋体" w:eastAsia="宋体" w:cs="Times New Roman"/>
                <w:sz w:val="24"/>
                <w:szCs w:val="24"/>
              </w:rPr>
              <w:t>3</w:t>
            </w:r>
          </w:p>
        </w:tc>
        <w:tc>
          <w:tcPr>
            <w:tcW w:w="6253" w:type="dxa"/>
            <w:tcBorders>
              <w:top w:val="single" w:color="auto" w:sz="2" w:space="0"/>
              <w:left w:val="single" w:color="auto" w:sz="2" w:space="0"/>
              <w:bottom w:val="single" w:color="auto" w:sz="2" w:space="0"/>
              <w:right w:val="single" w:color="auto" w:sz="2" w:space="0"/>
            </w:tcBorders>
            <w:vAlign w:val="center"/>
          </w:tcPr>
          <w:p>
            <w:pPr>
              <w:widowControl/>
              <w:jc w:val="center"/>
              <w:rPr>
                <w:rFonts w:ascii="宋体" w:hAnsi="宋体" w:eastAsia="宋体" w:cs="Times New Roman"/>
                <w:sz w:val="24"/>
                <w:szCs w:val="24"/>
              </w:rPr>
            </w:pPr>
            <w:r>
              <w:rPr>
                <w:rFonts w:hint="eastAsia" w:ascii="宋体" w:hAnsi="宋体" w:eastAsia="宋体" w:cs="Times New Roman"/>
                <w:sz w:val="24"/>
                <w:szCs w:val="24"/>
              </w:rPr>
              <w:t>广州市第一人民医院</w:t>
            </w:r>
          </w:p>
        </w:tc>
      </w:tr>
      <w:tr>
        <w:tblPrEx>
          <w:tblCellMar>
            <w:top w:w="0" w:type="dxa"/>
            <w:left w:w="108" w:type="dxa"/>
            <w:bottom w:w="0" w:type="dxa"/>
            <w:right w:w="108" w:type="dxa"/>
          </w:tblCellMar>
        </w:tblPrEx>
        <w:trPr>
          <w:trHeight w:val="384" w:hRule="atLeast"/>
          <w:jc w:val="center"/>
        </w:trPr>
        <w:tc>
          <w:tcPr>
            <w:tcW w:w="1039" w:type="dxa"/>
            <w:tcBorders>
              <w:top w:val="single" w:color="auto" w:sz="2" w:space="0"/>
              <w:left w:val="single" w:color="auto" w:sz="12" w:space="0"/>
              <w:bottom w:val="single" w:color="auto" w:sz="2" w:space="0"/>
              <w:right w:val="single" w:color="auto" w:sz="2" w:space="0"/>
            </w:tcBorders>
            <w:vAlign w:val="center"/>
          </w:tcPr>
          <w:p>
            <w:pPr>
              <w:widowControl/>
              <w:jc w:val="center"/>
              <w:rPr>
                <w:rFonts w:ascii="宋体" w:hAnsi="宋体" w:eastAsia="宋体" w:cs="Times New Roman"/>
                <w:sz w:val="24"/>
                <w:szCs w:val="24"/>
              </w:rPr>
            </w:pPr>
            <w:r>
              <w:rPr>
                <w:rFonts w:hint="eastAsia" w:ascii="宋体" w:hAnsi="宋体" w:eastAsia="宋体" w:cs="Times New Roman"/>
                <w:sz w:val="24"/>
                <w:szCs w:val="24"/>
              </w:rPr>
              <w:t>4</w:t>
            </w:r>
          </w:p>
        </w:tc>
        <w:tc>
          <w:tcPr>
            <w:tcW w:w="6253" w:type="dxa"/>
            <w:tcBorders>
              <w:top w:val="single" w:color="auto" w:sz="2" w:space="0"/>
              <w:left w:val="single" w:color="auto" w:sz="2" w:space="0"/>
              <w:bottom w:val="single" w:color="auto" w:sz="2" w:space="0"/>
              <w:right w:val="single" w:color="auto" w:sz="2" w:space="0"/>
            </w:tcBorders>
            <w:vAlign w:val="center"/>
          </w:tcPr>
          <w:p>
            <w:pPr>
              <w:widowControl/>
              <w:jc w:val="center"/>
              <w:rPr>
                <w:rFonts w:ascii="宋体" w:hAnsi="宋体" w:eastAsia="宋体" w:cs="Times New Roman"/>
                <w:sz w:val="24"/>
                <w:szCs w:val="24"/>
              </w:rPr>
            </w:pPr>
            <w:r>
              <w:rPr>
                <w:rFonts w:hint="eastAsia" w:ascii="宋体" w:hAnsi="宋体" w:eastAsia="宋体" w:cs="Times New Roman"/>
                <w:sz w:val="24"/>
                <w:szCs w:val="24"/>
              </w:rPr>
              <w:t>南方医科大学第五附属医院</w:t>
            </w:r>
          </w:p>
        </w:tc>
      </w:tr>
      <w:tr>
        <w:tblPrEx>
          <w:tblCellMar>
            <w:top w:w="0" w:type="dxa"/>
            <w:left w:w="108" w:type="dxa"/>
            <w:bottom w:w="0" w:type="dxa"/>
            <w:right w:w="108" w:type="dxa"/>
          </w:tblCellMar>
        </w:tblPrEx>
        <w:trPr>
          <w:trHeight w:val="384" w:hRule="atLeast"/>
          <w:jc w:val="center"/>
        </w:trPr>
        <w:tc>
          <w:tcPr>
            <w:tcW w:w="1039" w:type="dxa"/>
            <w:tcBorders>
              <w:top w:val="single" w:color="auto" w:sz="2" w:space="0"/>
              <w:left w:val="single" w:color="auto" w:sz="12" w:space="0"/>
              <w:bottom w:val="single" w:color="auto" w:sz="2" w:space="0"/>
              <w:right w:val="single" w:color="auto" w:sz="2" w:space="0"/>
            </w:tcBorders>
            <w:vAlign w:val="center"/>
          </w:tcPr>
          <w:p>
            <w:pPr>
              <w:widowControl/>
              <w:jc w:val="center"/>
              <w:rPr>
                <w:rFonts w:ascii="宋体" w:hAnsi="宋体" w:eastAsia="宋体" w:cs="Times New Roman"/>
                <w:sz w:val="24"/>
                <w:szCs w:val="24"/>
              </w:rPr>
            </w:pPr>
            <w:r>
              <w:rPr>
                <w:rFonts w:hint="eastAsia" w:ascii="宋体" w:hAnsi="宋体" w:eastAsia="宋体" w:cs="Times New Roman"/>
                <w:sz w:val="24"/>
                <w:szCs w:val="24"/>
              </w:rPr>
              <w:t>5</w:t>
            </w:r>
          </w:p>
        </w:tc>
        <w:tc>
          <w:tcPr>
            <w:tcW w:w="6253" w:type="dxa"/>
            <w:tcBorders>
              <w:top w:val="single" w:color="auto" w:sz="2" w:space="0"/>
              <w:left w:val="single" w:color="auto" w:sz="2" w:space="0"/>
              <w:bottom w:val="single" w:color="auto" w:sz="2" w:space="0"/>
              <w:right w:val="single" w:color="auto" w:sz="2" w:space="0"/>
            </w:tcBorders>
            <w:vAlign w:val="center"/>
          </w:tcPr>
          <w:p>
            <w:pPr>
              <w:widowControl/>
              <w:jc w:val="center"/>
              <w:rPr>
                <w:rFonts w:ascii="宋体" w:hAnsi="宋体" w:eastAsia="宋体" w:cs="Times New Roman"/>
                <w:sz w:val="24"/>
                <w:szCs w:val="24"/>
              </w:rPr>
            </w:pPr>
            <w:r>
              <w:rPr>
                <w:rFonts w:hint="eastAsia" w:ascii="宋体" w:hAnsi="宋体" w:eastAsia="宋体" w:cs="Times New Roman"/>
                <w:sz w:val="24"/>
                <w:szCs w:val="24"/>
              </w:rPr>
              <w:t>江门市中心医院</w:t>
            </w:r>
          </w:p>
        </w:tc>
      </w:tr>
    </w:tbl>
    <w:p>
      <w:pPr>
        <w:widowControl/>
        <w:adjustRightInd w:val="0"/>
        <w:snapToGrid w:val="0"/>
        <w:spacing w:before="156" w:beforeLines="50" w:after="156" w:afterLines="50"/>
        <w:jc w:val="left"/>
        <w:rPr>
          <w:rFonts w:ascii="Calibri" w:hAnsi="Calibri" w:eastAsia="宋体" w:cs="Times New Roman"/>
          <w:b/>
          <w:bCs/>
          <w:kern w:val="0"/>
          <w:sz w:val="24"/>
          <w:szCs w:val="24"/>
        </w:rPr>
      </w:pPr>
      <w:r>
        <w:rPr>
          <w:rFonts w:hint="eastAsia" w:ascii="Calibri" w:hAnsi="Calibri" w:eastAsia="宋体" w:cs="Times New Roman"/>
          <w:b/>
          <w:bCs/>
          <w:kern w:val="0"/>
          <w:sz w:val="24"/>
          <w:szCs w:val="24"/>
        </w:rPr>
        <w:t>（五）</w:t>
      </w:r>
      <w:r>
        <w:rPr>
          <w:rFonts w:ascii="Calibri" w:hAnsi="Calibri" w:eastAsia="宋体" w:cs="Times New Roman"/>
          <w:b/>
          <w:bCs/>
          <w:kern w:val="0"/>
          <w:sz w:val="24"/>
          <w:szCs w:val="24"/>
        </w:rPr>
        <w:t>资金预算与建设进度</w:t>
      </w:r>
    </w:p>
    <w:p>
      <w:pPr>
        <w:widowControl/>
        <w:adjustRightInd w:val="0"/>
        <w:snapToGrid w:val="0"/>
        <w:spacing w:line="360" w:lineRule="auto"/>
        <w:ind w:firstLine="560"/>
        <w:jc w:val="center"/>
        <w:rPr>
          <w:rFonts w:ascii="Calibri" w:hAnsi="Calibri" w:eastAsia="宋体" w:cs="Times New Roman"/>
          <w:kern w:val="0"/>
          <w:sz w:val="24"/>
          <w:szCs w:val="24"/>
        </w:rPr>
      </w:pPr>
      <w:r>
        <w:rPr>
          <w:rFonts w:hint="eastAsia" w:ascii="Calibri" w:hAnsi="Calibri" w:eastAsia="宋体" w:cs="Times New Roman"/>
          <w:kern w:val="0"/>
          <w:sz w:val="24"/>
          <w:szCs w:val="24"/>
        </w:rPr>
        <w:t>中药制药技术</w:t>
      </w:r>
      <w:r>
        <w:rPr>
          <w:rFonts w:ascii="Calibri" w:hAnsi="Calibri" w:eastAsia="宋体" w:cs="Times New Roman"/>
          <w:kern w:val="0"/>
          <w:sz w:val="24"/>
          <w:szCs w:val="24"/>
        </w:rPr>
        <w:t>专业建设资金预算情况见表3。</w:t>
      </w:r>
    </w:p>
    <w:p>
      <w:pPr>
        <w:widowControl/>
        <w:adjustRightInd w:val="0"/>
        <w:snapToGrid w:val="0"/>
        <w:spacing w:line="360" w:lineRule="auto"/>
        <w:ind w:firstLine="420"/>
        <w:jc w:val="center"/>
        <w:rPr>
          <w:rFonts w:ascii="Calibri" w:hAnsi="Calibri" w:eastAsia="宋体" w:cs="Times New Roman"/>
          <w:b/>
          <w:kern w:val="0"/>
          <w:szCs w:val="24"/>
        </w:rPr>
      </w:pPr>
      <w:r>
        <w:rPr>
          <w:rFonts w:ascii="Calibri" w:hAnsi="Calibri" w:eastAsia="宋体" w:cs="Times New Roman"/>
          <w:b/>
          <w:kern w:val="0"/>
          <w:szCs w:val="24"/>
        </w:rPr>
        <w:t>表3</w:t>
      </w:r>
      <w:r>
        <w:rPr>
          <w:rFonts w:hint="eastAsia" w:ascii="Calibri" w:hAnsi="Calibri" w:eastAsia="宋体" w:cs="Times New Roman"/>
          <w:b/>
          <w:kern w:val="0"/>
          <w:szCs w:val="24"/>
        </w:rPr>
        <w:t xml:space="preserve"> </w:t>
      </w:r>
      <w:r>
        <w:rPr>
          <w:rFonts w:ascii="Calibri" w:hAnsi="Calibri" w:eastAsia="宋体" w:cs="Times New Roman"/>
          <w:b/>
          <w:kern w:val="0"/>
          <w:szCs w:val="24"/>
        </w:rPr>
        <w:t xml:space="preserve"> </w:t>
      </w:r>
      <w:r>
        <w:rPr>
          <w:rFonts w:hint="eastAsia" w:ascii="Calibri" w:hAnsi="Calibri" w:eastAsia="宋体" w:cs="Times New Roman"/>
          <w:kern w:val="0"/>
          <w:sz w:val="24"/>
          <w:szCs w:val="24"/>
        </w:rPr>
        <w:t>中药制药</w:t>
      </w:r>
      <w:r>
        <w:rPr>
          <w:rFonts w:ascii="Calibri" w:hAnsi="Calibri" w:eastAsia="宋体" w:cs="Times New Roman"/>
          <w:b/>
          <w:kern w:val="0"/>
          <w:szCs w:val="24"/>
        </w:rPr>
        <w:t>专</w:t>
      </w:r>
      <w:r>
        <w:rPr>
          <w:rFonts w:hint="eastAsia" w:ascii="Calibri" w:hAnsi="Calibri" w:eastAsia="宋体" w:cs="Times New Roman"/>
          <w:b/>
          <w:kern w:val="0"/>
          <w:szCs w:val="24"/>
        </w:rPr>
        <w:t>业</w:t>
      </w:r>
      <w:r>
        <w:rPr>
          <w:rFonts w:ascii="Calibri" w:hAnsi="Calibri" w:eastAsia="宋体" w:cs="Times New Roman"/>
          <w:b/>
          <w:kern w:val="0"/>
          <w:szCs w:val="24"/>
        </w:rPr>
        <w:t>建设资金预算总表，单位：万元</w:t>
      </w:r>
    </w:p>
    <w:tbl>
      <w:tblPr>
        <w:tblStyle w:val="6"/>
        <w:tblW w:w="0" w:type="auto"/>
        <w:jc w:val="center"/>
        <w:tblLayout w:type="fixed"/>
        <w:tblCellMar>
          <w:top w:w="0" w:type="dxa"/>
          <w:left w:w="108" w:type="dxa"/>
          <w:bottom w:w="0" w:type="dxa"/>
          <w:right w:w="108" w:type="dxa"/>
        </w:tblCellMar>
      </w:tblPr>
      <w:tblGrid>
        <w:gridCol w:w="3398"/>
        <w:gridCol w:w="992"/>
        <w:gridCol w:w="992"/>
        <w:gridCol w:w="992"/>
        <w:gridCol w:w="816"/>
      </w:tblGrid>
      <w:tr>
        <w:tblPrEx>
          <w:tblCellMar>
            <w:top w:w="0" w:type="dxa"/>
            <w:left w:w="108" w:type="dxa"/>
            <w:bottom w:w="0" w:type="dxa"/>
            <w:right w:w="108" w:type="dxa"/>
          </w:tblCellMar>
        </w:tblPrEx>
        <w:trPr>
          <w:trHeight w:val="604" w:hRule="atLeast"/>
          <w:jc w:val="center"/>
        </w:trPr>
        <w:tc>
          <w:tcPr>
            <w:tcW w:w="3398" w:type="dxa"/>
            <w:tcBorders>
              <w:top w:val="single" w:color="auto" w:sz="4" w:space="0"/>
              <w:left w:val="single" w:color="000000" w:sz="4" w:space="0"/>
              <w:bottom w:val="single" w:color="000000" w:sz="4" w:space="0"/>
              <w:right w:val="single" w:color="000000" w:sz="4" w:space="0"/>
            </w:tcBorders>
            <w:vAlign w:val="center"/>
          </w:tcPr>
          <w:p>
            <w:pPr>
              <w:adjustRightInd w:val="0"/>
              <w:snapToGrid w:val="0"/>
              <w:jc w:val="center"/>
              <w:rPr>
                <w:rFonts w:ascii="宋体" w:hAnsi="宋体" w:eastAsia="宋体" w:cs="Times New Roman"/>
                <w:b/>
                <w:bCs/>
                <w:kern w:val="0"/>
                <w:szCs w:val="24"/>
              </w:rPr>
            </w:pPr>
            <w:r>
              <w:rPr>
                <w:rFonts w:ascii="宋体" w:hAnsi="宋体" w:eastAsia="宋体" w:cs="Times New Roman"/>
                <w:b/>
                <w:bCs/>
                <w:kern w:val="0"/>
                <w:szCs w:val="24"/>
              </w:rPr>
              <w:t>建设内容</w:t>
            </w:r>
          </w:p>
        </w:tc>
        <w:tc>
          <w:tcPr>
            <w:tcW w:w="992" w:type="dxa"/>
            <w:tcBorders>
              <w:top w:val="single" w:color="auto" w:sz="4" w:space="0"/>
              <w:left w:val="nil"/>
              <w:bottom w:val="single" w:color="000000" w:sz="4" w:space="0"/>
              <w:right w:val="single" w:color="000000" w:sz="4" w:space="0"/>
            </w:tcBorders>
            <w:vAlign w:val="center"/>
          </w:tcPr>
          <w:p>
            <w:pPr>
              <w:adjustRightInd w:val="0"/>
              <w:snapToGrid w:val="0"/>
              <w:jc w:val="center"/>
              <w:rPr>
                <w:rFonts w:ascii="宋体" w:hAnsi="宋体" w:eastAsia="宋体" w:cs="Times New Roman"/>
                <w:b/>
                <w:bCs/>
                <w:kern w:val="0"/>
                <w:sz w:val="15"/>
                <w:szCs w:val="18"/>
              </w:rPr>
            </w:pPr>
            <w:r>
              <w:rPr>
                <w:rFonts w:ascii="宋体" w:hAnsi="宋体" w:eastAsia="宋体" w:cs="Times New Roman"/>
                <w:sz w:val="18"/>
                <w:szCs w:val="18"/>
              </w:rPr>
              <w:t>20</w:t>
            </w:r>
            <w:r>
              <w:rPr>
                <w:rFonts w:hint="eastAsia" w:ascii="宋体" w:hAnsi="宋体" w:eastAsia="宋体" w:cs="Times New Roman"/>
                <w:sz w:val="18"/>
                <w:szCs w:val="18"/>
              </w:rPr>
              <w:t>21</w:t>
            </w:r>
            <w:r>
              <w:rPr>
                <w:rFonts w:ascii="宋体" w:hAnsi="宋体" w:eastAsia="宋体" w:cs="Times New Roman"/>
                <w:sz w:val="18"/>
                <w:szCs w:val="18"/>
              </w:rPr>
              <w:t>年</w:t>
            </w:r>
          </w:p>
        </w:tc>
        <w:tc>
          <w:tcPr>
            <w:tcW w:w="992" w:type="dxa"/>
            <w:tcBorders>
              <w:top w:val="single" w:color="auto" w:sz="4" w:space="0"/>
              <w:left w:val="nil"/>
              <w:bottom w:val="single" w:color="000000" w:sz="4" w:space="0"/>
              <w:right w:val="single" w:color="000000" w:sz="4" w:space="0"/>
            </w:tcBorders>
            <w:vAlign w:val="center"/>
          </w:tcPr>
          <w:p>
            <w:pPr>
              <w:adjustRightInd w:val="0"/>
              <w:snapToGrid w:val="0"/>
              <w:jc w:val="center"/>
              <w:rPr>
                <w:rFonts w:ascii="宋体" w:hAnsi="宋体" w:eastAsia="宋体" w:cs="Times New Roman"/>
                <w:b/>
                <w:bCs/>
                <w:kern w:val="0"/>
                <w:sz w:val="15"/>
                <w:szCs w:val="18"/>
              </w:rPr>
            </w:pPr>
            <w:r>
              <w:rPr>
                <w:rFonts w:ascii="宋体" w:hAnsi="宋体" w:eastAsia="宋体" w:cs="Times New Roman"/>
                <w:sz w:val="18"/>
                <w:szCs w:val="18"/>
              </w:rPr>
              <w:t>20</w:t>
            </w:r>
            <w:r>
              <w:rPr>
                <w:rFonts w:hint="eastAsia" w:ascii="宋体" w:hAnsi="宋体" w:eastAsia="宋体" w:cs="Times New Roman"/>
                <w:sz w:val="18"/>
                <w:szCs w:val="18"/>
              </w:rPr>
              <w:t>22</w:t>
            </w:r>
            <w:r>
              <w:rPr>
                <w:rFonts w:ascii="宋体" w:hAnsi="宋体" w:eastAsia="宋体" w:cs="Times New Roman"/>
                <w:sz w:val="18"/>
                <w:szCs w:val="18"/>
              </w:rPr>
              <w:t>年</w:t>
            </w:r>
          </w:p>
        </w:tc>
        <w:tc>
          <w:tcPr>
            <w:tcW w:w="992" w:type="dxa"/>
            <w:tcBorders>
              <w:top w:val="single" w:color="auto" w:sz="4" w:space="0"/>
              <w:left w:val="nil"/>
              <w:bottom w:val="single" w:color="000000" w:sz="4" w:space="0"/>
              <w:right w:val="single" w:color="000000" w:sz="4" w:space="0"/>
            </w:tcBorders>
            <w:vAlign w:val="center"/>
          </w:tcPr>
          <w:p>
            <w:pPr>
              <w:adjustRightInd w:val="0"/>
              <w:snapToGrid w:val="0"/>
              <w:jc w:val="center"/>
              <w:rPr>
                <w:rFonts w:ascii="宋体" w:hAnsi="宋体" w:eastAsia="宋体" w:cs="Times New Roman"/>
                <w:b/>
                <w:bCs/>
                <w:kern w:val="0"/>
                <w:sz w:val="15"/>
                <w:szCs w:val="18"/>
              </w:rPr>
            </w:pPr>
            <w:r>
              <w:rPr>
                <w:rFonts w:ascii="宋体" w:hAnsi="宋体" w:eastAsia="宋体" w:cs="Times New Roman"/>
                <w:sz w:val="18"/>
                <w:szCs w:val="18"/>
              </w:rPr>
              <w:t>20</w:t>
            </w:r>
            <w:r>
              <w:rPr>
                <w:rFonts w:hint="eastAsia" w:ascii="宋体" w:hAnsi="宋体" w:eastAsia="宋体" w:cs="Times New Roman"/>
                <w:sz w:val="18"/>
                <w:szCs w:val="18"/>
              </w:rPr>
              <w:t>23年</w:t>
            </w:r>
          </w:p>
        </w:tc>
        <w:tc>
          <w:tcPr>
            <w:tcW w:w="816" w:type="dxa"/>
            <w:tcBorders>
              <w:top w:val="single" w:color="auto" w:sz="4" w:space="0"/>
              <w:left w:val="nil"/>
              <w:bottom w:val="single" w:color="000000" w:sz="4" w:space="0"/>
              <w:right w:val="single" w:color="000000" w:sz="4" w:space="0"/>
            </w:tcBorders>
            <w:vAlign w:val="center"/>
          </w:tcPr>
          <w:p>
            <w:pPr>
              <w:widowControl/>
              <w:adjustRightInd w:val="0"/>
              <w:snapToGrid w:val="0"/>
              <w:jc w:val="center"/>
              <w:rPr>
                <w:rFonts w:ascii="宋体" w:hAnsi="宋体" w:eastAsia="宋体" w:cs="Times New Roman"/>
                <w:b/>
                <w:bCs/>
                <w:kern w:val="0"/>
                <w:szCs w:val="24"/>
              </w:rPr>
            </w:pPr>
            <w:r>
              <w:rPr>
                <w:rFonts w:ascii="宋体" w:hAnsi="宋体" w:eastAsia="宋体" w:cs="Times New Roman"/>
                <w:b/>
                <w:bCs/>
                <w:kern w:val="0"/>
                <w:szCs w:val="24"/>
              </w:rPr>
              <w:t>小计</w:t>
            </w:r>
          </w:p>
        </w:tc>
      </w:tr>
      <w:tr>
        <w:tblPrEx>
          <w:tblCellMar>
            <w:top w:w="0" w:type="dxa"/>
            <w:left w:w="108" w:type="dxa"/>
            <w:bottom w:w="0" w:type="dxa"/>
            <w:right w:w="108" w:type="dxa"/>
          </w:tblCellMar>
        </w:tblPrEx>
        <w:trPr>
          <w:trHeight w:val="439" w:hRule="atLeast"/>
          <w:jc w:val="center"/>
        </w:trPr>
        <w:tc>
          <w:tcPr>
            <w:tcW w:w="3398" w:type="dxa"/>
            <w:tcBorders>
              <w:top w:val="nil"/>
              <w:left w:val="single" w:color="000000" w:sz="4" w:space="0"/>
              <w:bottom w:val="single" w:color="000000" w:sz="4" w:space="0"/>
              <w:right w:val="single" w:color="000000" w:sz="4" w:space="0"/>
            </w:tcBorders>
            <w:vAlign w:val="center"/>
          </w:tcPr>
          <w:p>
            <w:pPr>
              <w:widowControl/>
              <w:adjustRightInd w:val="0"/>
              <w:snapToGrid w:val="0"/>
              <w:jc w:val="center"/>
              <w:rPr>
                <w:rFonts w:ascii="宋体" w:hAnsi="宋体" w:eastAsia="宋体" w:cs="Times New Roman"/>
                <w:kern w:val="0"/>
                <w:szCs w:val="24"/>
              </w:rPr>
            </w:pPr>
            <w:r>
              <w:rPr>
                <w:rFonts w:ascii="宋体" w:hAnsi="宋体" w:eastAsia="宋体" w:cs="Times New Roman"/>
                <w:kern w:val="0"/>
                <w:szCs w:val="24"/>
              </w:rPr>
              <w:t>人才培养模式与课程体系改革</w:t>
            </w:r>
          </w:p>
        </w:tc>
        <w:tc>
          <w:tcPr>
            <w:tcW w:w="992" w:type="dxa"/>
            <w:tcBorders>
              <w:top w:val="nil"/>
              <w:left w:val="nil"/>
              <w:bottom w:val="single" w:color="000000" w:sz="4" w:space="0"/>
              <w:right w:val="single" w:color="000000" w:sz="4" w:space="0"/>
            </w:tcBorders>
            <w:vAlign w:val="center"/>
          </w:tcPr>
          <w:p>
            <w:pPr>
              <w:widowControl/>
              <w:adjustRightInd w:val="0"/>
              <w:snapToGrid w:val="0"/>
              <w:jc w:val="center"/>
              <w:rPr>
                <w:rFonts w:ascii="宋体" w:hAnsi="宋体" w:eastAsia="宋体" w:cs="Times New Roman"/>
                <w:kern w:val="0"/>
                <w:sz w:val="18"/>
                <w:szCs w:val="18"/>
              </w:rPr>
            </w:pPr>
            <w:r>
              <w:rPr>
                <w:rFonts w:ascii="宋体" w:hAnsi="宋体" w:eastAsia="宋体" w:cs="Times New Roman"/>
                <w:kern w:val="0"/>
                <w:sz w:val="18"/>
                <w:szCs w:val="18"/>
              </w:rPr>
              <w:t>6</w:t>
            </w:r>
          </w:p>
        </w:tc>
        <w:tc>
          <w:tcPr>
            <w:tcW w:w="992" w:type="dxa"/>
            <w:tcBorders>
              <w:top w:val="nil"/>
              <w:left w:val="nil"/>
              <w:bottom w:val="single" w:color="000000" w:sz="4" w:space="0"/>
              <w:right w:val="single" w:color="000000" w:sz="4" w:space="0"/>
            </w:tcBorders>
            <w:vAlign w:val="center"/>
          </w:tcPr>
          <w:p>
            <w:pPr>
              <w:widowControl/>
              <w:adjustRightInd w:val="0"/>
              <w:snapToGrid w:val="0"/>
              <w:jc w:val="center"/>
              <w:rPr>
                <w:rFonts w:ascii="宋体" w:hAnsi="宋体" w:eastAsia="宋体" w:cs="Times New Roman"/>
                <w:kern w:val="0"/>
                <w:sz w:val="18"/>
                <w:szCs w:val="18"/>
              </w:rPr>
            </w:pPr>
            <w:r>
              <w:rPr>
                <w:rFonts w:hint="eastAsia" w:ascii="宋体" w:hAnsi="宋体" w:eastAsia="宋体" w:cs="Times New Roman"/>
                <w:kern w:val="0"/>
                <w:sz w:val="18"/>
                <w:szCs w:val="18"/>
              </w:rPr>
              <w:t>10</w:t>
            </w:r>
          </w:p>
        </w:tc>
        <w:tc>
          <w:tcPr>
            <w:tcW w:w="992" w:type="dxa"/>
            <w:tcBorders>
              <w:top w:val="nil"/>
              <w:left w:val="nil"/>
              <w:bottom w:val="single" w:color="000000" w:sz="4" w:space="0"/>
              <w:right w:val="single" w:color="000000" w:sz="4" w:space="0"/>
            </w:tcBorders>
            <w:vAlign w:val="center"/>
          </w:tcPr>
          <w:p>
            <w:pPr>
              <w:widowControl/>
              <w:adjustRightInd w:val="0"/>
              <w:snapToGrid w:val="0"/>
              <w:jc w:val="center"/>
              <w:rPr>
                <w:rFonts w:ascii="宋体" w:hAnsi="宋体" w:eastAsia="宋体" w:cs="Times New Roman"/>
                <w:kern w:val="0"/>
                <w:sz w:val="18"/>
                <w:szCs w:val="18"/>
              </w:rPr>
            </w:pPr>
            <w:r>
              <w:rPr>
                <w:rFonts w:ascii="宋体" w:hAnsi="宋体" w:eastAsia="宋体" w:cs="Times New Roman"/>
                <w:kern w:val="0"/>
                <w:sz w:val="18"/>
                <w:szCs w:val="18"/>
              </w:rPr>
              <w:t>14</w:t>
            </w:r>
          </w:p>
        </w:tc>
        <w:tc>
          <w:tcPr>
            <w:tcW w:w="816" w:type="dxa"/>
            <w:tcBorders>
              <w:top w:val="nil"/>
              <w:left w:val="nil"/>
              <w:bottom w:val="single" w:color="000000" w:sz="4" w:space="0"/>
              <w:right w:val="single" w:color="000000" w:sz="4" w:space="0"/>
            </w:tcBorders>
            <w:vAlign w:val="center"/>
          </w:tcPr>
          <w:p>
            <w:pPr>
              <w:widowControl/>
              <w:adjustRightInd w:val="0"/>
              <w:snapToGrid w:val="0"/>
              <w:jc w:val="center"/>
              <w:rPr>
                <w:rFonts w:ascii="宋体" w:hAnsi="宋体" w:eastAsia="宋体" w:cs="Times New Roman"/>
                <w:kern w:val="0"/>
                <w:sz w:val="18"/>
                <w:szCs w:val="18"/>
              </w:rPr>
            </w:pPr>
            <w:r>
              <w:rPr>
                <w:rFonts w:hint="eastAsia" w:ascii="宋体" w:hAnsi="宋体" w:eastAsia="宋体" w:cs="Times New Roman"/>
                <w:kern w:val="0"/>
                <w:sz w:val="18"/>
                <w:szCs w:val="18"/>
              </w:rPr>
              <w:t>30</w:t>
            </w:r>
          </w:p>
        </w:tc>
      </w:tr>
      <w:tr>
        <w:tblPrEx>
          <w:tblCellMar>
            <w:top w:w="0" w:type="dxa"/>
            <w:left w:w="108" w:type="dxa"/>
            <w:bottom w:w="0" w:type="dxa"/>
            <w:right w:w="108" w:type="dxa"/>
          </w:tblCellMar>
        </w:tblPrEx>
        <w:trPr>
          <w:trHeight w:val="447" w:hRule="atLeast"/>
          <w:jc w:val="center"/>
        </w:trPr>
        <w:tc>
          <w:tcPr>
            <w:tcW w:w="3398" w:type="dxa"/>
            <w:tcBorders>
              <w:top w:val="nil"/>
              <w:left w:val="single" w:color="000000" w:sz="4" w:space="0"/>
              <w:bottom w:val="single" w:color="000000" w:sz="4" w:space="0"/>
              <w:right w:val="single" w:color="000000" w:sz="4" w:space="0"/>
            </w:tcBorders>
            <w:vAlign w:val="center"/>
          </w:tcPr>
          <w:p>
            <w:pPr>
              <w:widowControl/>
              <w:adjustRightInd w:val="0"/>
              <w:snapToGrid w:val="0"/>
              <w:jc w:val="center"/>
              <w:rPr>
                <w:rFonts w:ascii="宋体" w:hAnsi="宋体" w:eastAsia="宋体" w:cs="Times New Roman"/>
                <w:kern w:val="0"/>
                <w:szCs w:val="24"/>
              </w:rPr>
            </w:pPr>
            <w:r>
              <w:rPr>
                <w:rFonts w:ascii="宋体" w:hAnsi="宋体" w:eastAsia="宋体" w:cs="Times New Roman"/>
                <w:kern w:val="0"/>
                <w:szCs w:val="24"/>
              </w:rPr>
              <w:t>师资队伍建设</w:t>
            </w:r>
          </w:p>
        </w:tc>
        <w:tc>
          <w:tcPr>
            <w:tcW w:w="992" w:type="dxa"/>
            <w:tcBorders>
              <w:top w:val="nil"/>
              <w:left w:val="nil"/>
              <w:bottom w:val="single" w:color="000000" w:sz="4" w:space="0"/>
              <w:right w:val="single" w:color="000000" w:sz="4" w:space="0"/>
            </w:tcBorders>
            <w:vAlign w:val="center"/>
          </w:tcPr>
          <w:p>
            <w:pPr>
              <w:widowControl/>
              <w:adjustRightInd w:val="0"/>
              <w:snapToGrid w:val="0"/>
              <w:jc w:val="center"/>
              <w:rPr>
                <w:rFonts w:ascii="宋体" w:hAnsi="宋体" w:eastAsia="宋体" w:cs="Times New Roman"/>
                <w:kern w:val="0"/>
                <w:sz w:val="18"/>
                <w:szCs w:val="18"/>
              </w:rPr>
            </w:pPr>
            <w:r>
              <w:rPr>
                <w:rFonts w:hint="eastAsia" w:ascii="宋体" w:hAnsi="宋体" w:eastAsia="宋体" w:cs="Times New Roman"/>
                <w:kern w:val="0"/>
                <w:sz w:val="18"/>
                <w:szCs w:val="18"/>
              </w:rPr>
              <w:t>10</w:t>
            </w:r>
          </w:p>
        </w:tc>
        <w:tc>
          <w:tcPr>
            <w:tcW w:w="992" w:type="dxa"/>
            <w:tcBorders>
              <w:top w:val="nil"/>
              <w:left w:val="nil"/>
              <w:bottom w:val="single" w:color="000000" w:sz="4" w:space="0"/>
              <w:right w:val="single" w:color="000000" w:sz="4" w:space="0"/>
            </w:tcBorders>
            <w:vAlign w:val="center"/>
          </w:tcPr>
          <w:p>
            <w:pPr>
              <w:widowControl/>
              <w:adjustRightInd w:val="0"/>
              <w:snapToGrid w:val="0"/>
              <w:jc w:val="center"/>
              <w:rPr>
                <w:rFonts w:ascii="宋体" w:hAnsi="宋体" w:eastAsia="宋体" w:cs="Times New Roman"/>
                <w:kern w:val="0"/>
                <w:sz w:val="18"/>
                <w:szCs w:val="18"/>
              </w:rPr>
            </w:pPr>
            <w:r>
              <w:rPr>
                <w:rFonts w:hint="eastAsia" w:ascii="宋体" w:hAnsi="宋体" w:eastAsia="宋体" w:cs="Times New Roman"/>
                <w:kern w:val="0"/>
                <w:sz w:val="18"/>
                <w:szCs w:val="18"/>
              </w:rPr>
              <w:t>10</w:t>
            </w:r>
          </w:p>
        </w:tc>
        <w:tc>
          <w:tcPr>
            <w:tcW w:w="992" w:type="dxa"/>
            <w:tcBorders>
              <w:top w:val="nil"/>
              <w:left w:val="nil"/>
              <w:bottom w:val="single" w:color="000000" w:sz="4" w:space="0"/>
              <w:right w:val="single" w:color="000000" w:sz="4" w:space="0"/>
            </w:tcBorders>
            <w:vAlign w:val="center"/>
          </w:tcPr>
          <w:p>
            <w:pPr>
              <w:widowControl/>
              <w:adjustRightInd w:val="0"/>
              <w:snapToGrid w:val="0"/>
              <w:jc w:val="center"/>
              <w:rPr>
                <w:rFonts w:ascii="宋体" w:hAnsi="宋体" w:eastAsia="宋体" w:cs="Times New Roman"/>
                <w:kern w:val="0"/>
                <w:sz w:val="18"/>
                <w:szCs w:val="18"/>
              </w:rPr>
            </w:pPr>
            <w:r>
              <w:rPr>
                <w:rFonts w:hint="eastAsia" w:ascii="宋体" w:hAnsi="宋体" w:eastAsia="宋体" w:cs="Times New Roman"/>
                <w:kern w:val="0"/>
                <w:sz w:val="18"/>
                <w:szCs w:val="18"/>
              </w:rPr>
              <w:t>10</w:t>
            </w:r>
          </w:p>
        </w:tc>
        <w:tc>
          <w:tcPr>
            <w:tcW w:w="816" w:type="dxa"/>
            <w:tcBorders>
              <w:top w:val="nil"/>
              <w:left w:val="nil"/>
              <w:bottom w:val="single" w:color="000000" w:sz="4" w:space="0"/>
              <w:right w:val="single" w:color="000000" w:sz="4" w:space="0"/>
            </w:tcBorders>
            <w:vAlign w:val="center"/>
          </w:tcPr>
          <w:p>
            <w:pPr>
              <w:widowControl/>
              <w:adjustRightInd w:val="0"/>
              <w:snapToGrid w:val="0"/>
              <w:jc w:val="center"/>
              <w:rPr>
                <w:rFonts w:ascii="宋体" w:hAnsi="宋体" w:eastAsia="宋体" w:cs="Times New Roman"/>
                <w:kern w:val="0"/>
                <w:sz w:val="18"/>
                <w:szCs w:val="18"/>
              </w:rPr>
            </w:pPr>
            <w:r>
              <w:rPr>
                <w:rFonts w:hint="eastAsia" w:ascii="宋体" w:hAnsi="宋体" w:eastAsia="宋体" w:cs="Times New Roman"/>
                <w:kern w:val="0"/>
                <w:sz w:val="18"/>
                <w:szCs w:val="18"/>
              </w:rPr>
              <w:t>30</w:t>
            </w:r>
          </w:p>
        </w:tc>
      </w:tr>
      <w:tr>
        <w:tblPrEx>
          <w:tblCellMar>
            <w:top w:w="0" w:type="dxa"/>
            <w:left w:w="108" w:type="dxa"/>
            <w:bottom w:w="0" w:type="dxa"/>
            <w:right w:w="108" w:type="dxa"/>
          </w:tblCellMar>
        </w:tblPrEx>
        <w:trPr>
          <w:trHeight w:val="456" w:hRule="atLeast"/>
          <w:jc w:val="center"/>
        </w:trPr>
        <w:tc>
          <w:tcPr>
            <w:tcW w:w="3398" w:type="dxa"/>
            <w:tcBorders>
              <w:top w:val="nil"/>
              <w:left w:val="single" w:color="000000" w:sz="4" w:space="0"/>
              <w:bottom w:val="single" w:color="000000" w:sz="4" w:space="0"/>
              <w:right w:val="single" w:color="000000" w:sz="4" w:space="0"/>
            </w:tcBorders>
            <w:vAlign w:val="center"/>
          </w:tcPr>
          <w:p>
            <w:pPr>
              <w:widowControl/>
              <w:adjustRightInd w:val="0"/>
              <w:snapToGrid w:val="0"/>
              <w:jc w:val="center"/>
              <w:rPr>
                <w:rFonts w:ascii="宋体" w:hAnsi="宋体" w:eastAsia="宋体" w:cs="Times New Roman"/>
                <w:kern w:val="0"/>
                <w:szCs w:val="24"/>
              </w:rPr>
            </w:pPr>
            <w:r>
              <w:rPr>
                <w:rFonts w:ascii="宋体" w:hAnsi="宋体" w:eastAsia="宋体" w:cs="Times New Roman"/>
                <w:kern w:val="0"/>
                <w:szCs w:val="24"/>
              </w:rPr>
              <w:t>教学实验实训条件建设</w:t>
            </w:r>
          </w:p>
        </w:tc>
        <w:tc>
          <w:tcPr>
            <w:tcW w:w="992" w:type="dxa"/>
            <w:tcBorders>
              <w:top w:val="nil"/>
              <w:left w:val="nil"/>
              <w:bottom w:val="single" w:color="000000" w:sz="4" w:space="0"/>
              <w:right w:val="single" w:color="000000" w:sz="4" w:space="0"/>
            </w:tcBorders>
            <w:vAlign w:val="center"/>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40</w:t>
            </w:r>
          </w:p>
        </w:tc>
        <w:tc>
          <w:tcPr>
            <w:tcW w:w="992" w:type="dxa"/>
            <w:tcBorders>
              <w:top w:val="nil"/>
              <w:left w:val="nil"/>
              <w:bottom w:val="single" w:color="000000" w:sz="4" w:space="0"/>
              <w:right w:val="single" w:color="000000" w:sz="4" w:space="0"/>
            </w:tcBorders>
            <w:vAlign w:val="center"/>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30</w:t>
            </w:r>
          </w:p>
        </w:tc>
        <w:tc>
          <w:tcPr>
            <w:tcW w:w="992" w:type="dxa"/>
            <w:tcBorders>
              <w:top w:val="nil"/>
              <w:left w:val="nil"/>
              <w:bottom w:val="single" w:color="000000" w:sz="4" w:space="0"/>
              <w:right w:val="single" w:color="000000" w:sz="4" w:space="0"/>
            </w:tcBorders>
            <w:vAlign w:val="center"/>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30</w:t>
            </w:r>
          </w:p>
        </w:tc>
        <w:tc>
          <w:tcPr>
            <w:tcW w:w="816" w:type="dxa"/>
            <w:tcBorders>
              <w:top w:val="nil"/>
              <w:left w:val="nil"/>
              <w:bottom w:val="single" w:color="000000" w:sz="4" w:space="0"/>
              <w:right w:val="single" w:color="000000" w:sz="4" w:space="0"/>
            </w:tcBorders>
            <w:vAlign w:val="center"/>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100</w:t>
            </w:r>
          </w:p>
        </w:tc>
      </w:tr>
      <w:tr>
        <w:tblPrEx>
          <w:tblCellMar>
            <w:top w:w="0" w:type="dxa"/>
            <w:left w:w="108" w:type="dxa"/>
            <w:bottom w:w="0" w:type="dxa"/>
            <w:right w:w="108" w:type="dxa"/>
          </w:tblCellMar>
        </w:tblPrEx>
        <w:trPr>
          <w:trHeight w:val="462" w:hRule="atLeast"/>
          <w:jc w:val="center"/>
        </w:trPr>
        <w:tc>
          <w:tcPr>
            <w:tcW w:w="3398" w:type="dxa"/>
            <w:tcBorders>
              <w:top w:val="nil"/>
              <w:left w:val="single" w:color="000000" w:sz="4" w:space="0"/>
              <w:bottom w:val="single" w:color="000000" w:sz="4" w:space="0"/>
              <w:right w:val="single" w:color="000000" w:sz="4" w:space="0"/>
            </w:tcBorders>
            <w:vAlign w:val="center"/>
          </w:tcPr>
          <w:p>
            <w:pPr>
              <w:widowControl/>
              <w:adjustRightInd w:val="0"/>
              <w:snapToGrid w:val="0"/>
              <w:jc w:val="center"/>
              <w:rPr>
                <w:rFonts w:ascii="宋体" w:hAnsi="宋体" w:eastAsia="宋体" w:cs="Times New Roman"/>
                <w:kern w:val="0"/>
                <w:szCs w:val="24"/>
              </w:rPr>
            </w:pPr>
            <w:r>
              <w:rPr>
                <w:rFonts w:ascii="宋体" w:hAnsi="宋体" w:eastAsia="宋体" w:cs="Times New Roman"/>
                <w:kern w:val="0"/>
                <w:szCs w:val="24"/>
              </w:rPr>
              <w:t>教科研社会服务能力建设</w:t>
            </w:r>
          </w:p>
        </w:tc>
        <w:tc>
          <w:tcPr>
            <w:tcW w:w="992" w:type="dxa"/>
            <w:tcBorders>
              <w:top w:val="nil"/>
              <w:left w:val="nil"/>
              <w:bottom w:val="single" w:color="000000" w:sz="4" w:space="0"/>
              <w:right w:val="single" w:color="000000" w:sz="4" w:space="0"/>
            </w:tcBorders>
            <w:vAlign w:val="center"/>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8</w:t>
            </w:r>
          </w:p>
        </w:tc>
        <w:tc>
          <w:tcPr>
            <w:tcW w:w="992" w:type="dxa"/>
            <w:tcBorders>
              <w:top w:val="nil"/>
              <w:left w:val="nil"/>
              <w:bottom w:val="single" w:color="000000" w:sz="4" w:space="0"/>
              <w:right w:val="single" w:color="000000" w:sz="4" w:space="0"/>
            </w:tcBorders>
            <w:vAlign w:val="center"/>
          </w:tcPr>
          <w:p>
            <w:pPr>
              <w:jc w:val="center"/>
              <w:rPr>
                <w:rFonts w:ascii="宋体" w:hAnsi="宋体" w:eastAsia="宋体" w:cs="Times New Roman"/>
                <w:color w:val="000000"/>
                <w:sz w:val="18"/>
                <w:szCs w:val="18"/>
              </w:rPr>
            </w:pPr>
            <w:r>
              <w:rPr>
                <w:rFonts w:ascii="宋体" w:hAnsi="宋体" w:eastAsia="宋体" w:cs="Times New Roman"/>
                <w:color w:val="000000"/>
                <w:sz w:val="18"/>
                <w:szCs w:val="18"/>
              </w:rPr>
              <w:t>1</w:t>
            </w:r>
            <w:r>
              <w:rPr>
                <w:rFonts w:hint="eastAsia" w:ascii="宋体" w:hAnsi="宋体" w:eastAsia="宋体" w:cs="Times New Roman"/>
                <w:color w:val="000000"/>
                <w:sz w:val="18"/>
                <w:szCs w:val="18"/>
              </w:rPr>
              <w:t>0</w:t>
            </w:r>
          </w:p>
        </w:tc>
        <w:tc>
          <w:tcPr>
            <w:tcW w:w="992" w:type="dxa"/>
            <w:tcBorders>
              <w:top w:val="nil"/>
              <w:left w:val="nil"/>
              <w:bottom w:val="single" w:color="000000" w:sz="4" w:space="0"/>
              <w:right w:val="single" w:color="000000" w:sz="4" w:space="0"/>
            </w:tcBorders>
            <w:vAlign w:val="center"/>
          </w:tcPr>
          <w:p>
            <w:pPr>
              <w:jc w:val="center"/>
              <w:rPr>
                <w:rFonts w:ascii="宋体" w:hAnsi="宋体" w:eastAsia="宋体" w:cs="Times New Roman"/>
                <w:color w:val="000000"/>
                <w:sz w:val="18"/>
                <w:szCs w:val="18"/>
              </w:rPr>
            </w:pPr>
            <w:r>
              <w:rPr>
                <w:rFonts w:ascii="宋体" w:hAnsi="宋体" w:eastAsia="宋体" w:cs="Times New Roman"/>
                <w:color w:val="000000"/>
                <w:sz w:val="18"/>
                <w:szCs w:val="18"/>
              </w:rPr>
              <w:t>1</w:t>
            </w:r>
            <w:r>
              <w:rPr>
                <w:rFonts w:hint="eastAsia" w:ascii="宋体" w:hAnsi="宋体" w:eastAsia="宋体" w:cs="Times New Roman"/>
                <w:color w:val="000000"/>
                <w:sz w:val="18"/>
                <w:szCs w:val="18"/>
              </w:rPr>
              <w:t>2</w:t>
            </w:r>
          </w:p>
        </w:tc>
        <w:tc>
          <w:tcPr>
            <w:tcW w:w="816" w:type="dxa"/>
            <w:tcBorders>
              <w:top w:val="nil"/>
              <w:left w:val="nil"/>
              <w:bottom w:val="single" w:color="000000" w:sz="4" w:space="0"/>
              <w:right w:val="single" w:color="000000" w:sz="4" w:space="0"/>
            </w:tcBorders>
            <w:vAlign w:val="center"/>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30</w:t>
            </w:r>
          </w:p>
        </w:tc>
      </w:tr>
      <w:tr>
        <w:tblPrEx>
          <w:tblCellMar>
            <w:top w:w="0" w:type="dxa"/>
            <w:left w:w="108" w:type="dxa"/>
            <w:bottom w:w="0" w:type="dxa"/>
            <w:right w:w="108" w:type="dxa"/>
          </w:tblCellMar>
        </w:tblPrEx>
        <w:trPr>
          <w:trHeight w:val="441" w:hRule="atLeast"/>
          <w:jc w:val="center"/>
        </w:trPr>
        <w:tc>
          <w:tcPr>
            <w:tcW w:w="3398" w:type="dxa"/>
            <w:tcBorders>
              <w:top w:val="nil"/>
              <w:left w:val="single" w:color="000000" w:sz="4" w:space="0"/>
              <w:bottom w:val="single" w:color="000000" w:sz="4" w:space="0"/>
              <w:right w:val="single" w:color="000000" w:sz="4" w:space="0"/>
            </w:tcBorders>
            <w:vAlign w:val="center"/>
          </w:tcPr>
          <w:p>
            <w:pPr>
              <w:widowControl/>
              <w:adjustRightInd w:val="0"/>
              <w:snapToGrid w:val="0"/>
              <w:jc w:val="center"/>
              <w:rPr>
                <w:rFonts w:ascii="宋体" w:hAnsi="宋体" w:eastAsia="宋体" w:cs="Times New Roman"/>
                <w:kern w:val="0"/>
                <w:szCs w:val="24"/>
              </w:rPr>
            </w:pPr>
            <w:r>
              <w:rPr>
                <w:rFonts w:hint="eastAsia" w:ascii="宋体" w:hAnsi="宋体" w:eastAsia="宋体" w:cs="Times New Roman"/>
                <w:kern w:val="0"/>
                <w:szCs w:val="24"/>
              </w:rPr>
              <w:t>合</w:t>
            </w:r>
            <w:r>
              <w:rPr>
                <w:rFonts w:ascii="宋体" w:hAnsi="宋体" w:eastAsia="宋体" w:cs="Times New Roman"/>
                <w:kern w:val="0"/>
                <w:szCs w:val="24"/>
              </w:rPr>
              <w:t xml:space="preserve"> 计</w:t>
            </w:r>
          </w:p>
        </w:tc>
        <w:tc>
          <w:tcPr>
            <w:tcW w:w="992" w:type="dxa"/>
            <w:tcBorders>
              <w:top w:val="nil"/>
              <w:left w:val="nil"/>
              <w:bottom w:val="single" w:color="000000" w:sz="4" w:space="0"/>
              <w:right w:val="single" w:color="000000" w:sz="4" w:space="0"/>
            </w:tcBorders>
            <w:vAlign w:val="center"/>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64</w:t>
            </w:r>
          </w:p>
        </w:tc>
        <w:tc>
          <w:tcPr>
            <w:tcW w:w="992" w:type="dxa"/>
            <w:tcBorders>
              <w:top w:val="nil"/>
              <w:left w:val="nil"/>
              <w:bottom w:val="single" w:color="000000" w:sz="4" w:space="0"/>
              <w:right w:val="single" w:color="000000" w:sz="4" w:space="0"/>
            </w:tcBorders>
            <w:vAlign w:val="center"/>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60</w:t>
            </w:r>
          </w:p>
        </w:tc>
        <w:tc>
          <w:tcPr>
            <w:tcW w:w="992" w:type="dxa"/>
            <w:tcBorders>
              <w:top w:val="nil"/>
              <w:left w:val="nil"/>
              <w:bottom w:val="single" w:color="000000" w:sz="4" w:space="0"/>
              <w:right w:val="single" w:color="000000" w:sz="4" w:space="0"/>
            </w:tcBorders>
            <w:vAlign w:val="center"/>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66</w:t>
            </w:r>
          </w:p>
        </w:tc>
        <w:tc>
          <w:tcPr>
            <w:tcW w:w="816" w:type="dxa"/>
            <w:tcBorders>
              <w:top w:val="nil"/>
              <w:left w:val="nil"/>
              <w:bottom w:val="single" w:color="000000" w:sz="4" w:space="0"/>
              <w:right w:val="single" w:color="000000" w:sz="4" w:space="0"/>
            </w:tcBorders>
            <w:vAlign w:val="center"/>
          </w:tcPr>
          <w:p>
            <w:pPr>
              <w:jc w:val="center"/>
              <w:rPr>
                <w:rFonts w:ascii="宋体" w:hAnsi="宋体" w:eastAsia="宋体" w:cs="Times New Roman"/>
                <w:color w:val="000000"/>
                <w:sz w:val="18"/>
                <w:szCs w:val="18"/>
              </w:rPr>
            </w:pPr>
            <w:r>
              <w:rPr>
                <w:rFonts w:hint="eastAsia" w:ascii="宋体" w:hAnsi="宋体" w:eastAsia="宋体" w:cs="Times New Roman"/>
                <w:color w:val="000000"/>
                <w:sz w:val="18"/>
                <w:szCs w:val="18"/>
              </w:rPr>
              <w:t>190</w:t>
            </w:r>
          </w:p>
        </w:tc>
      </w:tr>
    </w:tbl>
    <w:p>
      <w:pPr>
        <w:adjustRightInd w:val="0"/>
        <w:snapToGrid w:val="0"/>
        <w:spacing w:line="360" w:lineRule="auto"/>
        <w:ind w:firstLine="480" w:firstLineChars="200"/>
        <w:rPr>
          <w:rFonts w:ascii="Calibri" w:hAnsi="Calibri" w:eastAsia="宋体" w:cs="Times New Roman"/>
          <w:sz w:val="24"/>
          <w:szCs w:val="24"/>
        </w:rPr>
      </w:pPr>
    </w:p>
    <w:p>
      <w:pPr>
        <w:widowControl/>
        <w:adjustRightInd w:val="0"/>
        <w:snapToGrid w:val="0"/>
        <w:spacing w:line="360" w:lineRule="auto"/>
        <w:jc w:val="left"/>
        <w:rPr>
          <w:rFonts w:ascii="Calibri" w:hAnsi="Calibri" w:eastAsia="宋体" w:cs="Times New Roman"/>
          <w:b/>
          <w:bCs/>
          <w:kern w:val="0"/>
          <w:sz w:val="24"/>
          <w:szCs w:val="24"/>
        </w:rPr>
      </w:pPr>
      <w:r>
        <w:rPr>
          <w:rFonts w:hint="eastAsia" w:ascii="Calibri" w:hAnsi="Calibri" w:eastAsia="宋体" w:cs="Times New Roman"/>
          <w:b/>
          <w:bCs/>
          <w:kern w:val="0"/>
          <w:sz w:val="24"/>
          <w:szCs w:val="24"/>
        </w:rPr>
        <w:t>（六）</w:t>
      </w:r>
      <w:r>
        <w:rPr>
          <w:rFonts w:ascii="Calibri" w:hAnsi="Calibri" w:eastAsia="宋体" w:cs="Times New Roman"/>
          <w:b/>
          <w:bCs/>
          <w:kern w:val="0"/>
          <w:sz w:val="24"/>
          <w:szCs w:val="24"/>
        </w:rPr>
        <w:t>保障措施</w:t>
      </w:r>
    </w:p>
    <w:p>
      <w:pPr>
        <w:widowControl/>
        <w:adjustRightInd w:val="0"/>
        <w:snapToGrid w:val="0"/>
        <w:spacing w:line="360" w:lineRule="auto"/>
        <w:jc w:val="left"/>
        <w:rPr>
          <w:rFonts w:ascii="Calibri" w:hAnsi="Calibri" w:eastAsia="宋体" w:cs="Times New Roman"/>
          <w:kern w:val="0"/>
          <w:sz w:val="24"/>
          <w:szCs w:val="24"/>
        </w:rPr>
      </w:pPr>
      <w:r>
        <w:rPr>
          <w:rFonts w:ascii="Calibri" w:hAnsi="Calibri" w:eastAsia="宋体" w:cs="Times New Roman"/>
          <w:kern w:val="0"/>
          <w:sz w:val="24"/>
          <w:szCs w:val="24"/>
        </w:rPr>
        <w:t>（</w:t>
      </w:r>
      <w:r>
        <w:rPr>
          <w:rFonts w:hint="eastAsia" w:ascii="Calibri" w:hAnsi="Calibri" w:eastAsia="宋体" w:cs="Times New Roman"/>
          <w:kern w:val="0"/>
          <w:sz w:val="24"/>
          <w:szCs w:val="24"/>
        </w:rPr>
        <w:t>1</w:t>
      </w:r>
      <w:r>
        <w:rPr>
          <w:rFonts w:ascii="Calibri" w:hAnsi="Calibri" w:eastAsia="宋体" w:cs="Times New Roman"/>
          <w:kern w:val="0"/>
          <w:sz w:val="24"/>
          <w:szCs w:val="24"/>
        </w:rPr>
        <w:t>）成立专业建设领导机构</w:t>
      </w:r>
    </w:p>
    <w:p>
      <w:pPr>
        <w:widowControl/>
        <w:adjustRightInd w:val="0"/>
        <w:snapToGrid w:val="0"/>
        <w:spacing w:line="360" w:lineRule="auto"/>
        <w:ind w:firstLine="480" w:firstLineChars="200"/>
        <w:jc w:val="left"/>
        <w:rPr>
          <w:rFonts w:ascii="Calibri" w:hAnsi="Calibri" w:eastAsia="宋体" w:cs="Times New Roman"/>
          <w:kern w:val="0"/>
          <w:sz w:val="24"/>
          <w:szCs w:val="24"/>
        </w:rPr>
      </w:pPr>
      <w:r>
        <w:rPr>
          <w:rFonts w:ascii="Calibri" w:hAnsi="Calibri" w:eastAsia="宋体" w:cs="Times New Roman"/>
          <w:kern w:val="0"/>
          <w:sz w:val="24"/>
          <w:szCs w:val="24"/>
        </w:rPr>
        <w:t>成立专业建设领导小组，明确小组成员分工与职责，加强对专业建设的领导与业务指导，确保层层推进、逐级落实，使专业建设按计划实施。</w:t>
      </w:r>
    </w:p>
    <w:p>
      <w:pPr>
        <w:widowControl/>
        <w:adjustRightInd w:val="0"/>
        <w:snapToGrid w:val="0"/>
        <w:spacing w:line="360" w:lineRule="auto"/>
        <w:ind w:firstLine="480" w:firstLineChars="200"/>
        <w:jc w:val="left"/>
        <w:rPr>
          <w:rFonts w:ascii="Calibri" w:hAnsi="Calibri" w:eastAsia="宋体" w:cs="Times New Roman"/>
          <w:kern w:val="0"/>
          <w:sz w:val="24"/>
          <w:szCs w:val="24"/>
        </w:rPr>
      </w:pPr>
      <w:r>
        <w:rPr>
          <w:rFonts w:hint="eastAsia" w:ascii="Calibri" w:hAnsi="Calibri" w:eastAsia="宋体" w:cs="Times New Roman"/>
          <w:kern w:val="0"/>
          <w:sz w:val="24"/>
          <w:szCs w:val="24"/>
        </w:rPr>
        <w:t>中药制药</w:t>
      </w:r>
      <w:r>
        <w:rPr>
          <w:rFonts w:ascii="Calibri" w:hAnsi="Calibri" w:eastAsia="宋体" w:cs="Times New Roman"/>
          <w:kern w:val="0"/>
          <w:sz w:val="24"/>
          <w:szCs w:val="24"/>
        </w:rPr>
        <w:t>专业将坚持和谐发展、科学发展，坚定发展目标，勇于开拓进取，加强体制建设、人才建设和专业建设，拓展国际和国内交流与合作，全面提高教育教学质量和办学效益，为提升</w:t>
      </w:r>
      <w:r>
        <w:rPr>
          <w:rFonts w:hint="eastAsia" w:ascii="Calibri" w:hAnsi="Calibri" w:eastAsia="宋体" w:cs="Times New Roman"/>
          <w:kern w:val="0"/>
          <w:sz w:val="24"/>
          <w:szCs w:val="24"/>
        </w:rPr>
        <w:t>中药制药</w:t>
      </w:r>
      <w:r>
        <w:rPr>
          <w:rFonts w:ascii="Calibri" w:hAnsi="Calibri" w:eastAsia="宋体" w:cs="Times New Roman"/>
          <w:kern w:val="0"/>
          <w:sz w:val="24"/>
          <w:szCs w:val="24"/>
        </w:rPr>
        <w:t>人才的</w:t>
      </w:r>
      <w:r>
        <w:rPr>
          <w:rFonts w:hint="eastAsia" w:ascii="Calibri" w:hAnsi="Calibri" w:eastAsia="宋体" w:cs="Times New Roman"/>
          <w:kern w:val="0"/>
          <w:sz w:val="24"/>
          <w:szCs w:val="24"/>
        </w:rPr>
        <w:t>职业</w:t>
      </w:r>
      <w:r>
        <w:rPr>
          <w:rFonts w:ascii="Calibri" w:hAnsi="Calibri" w:eastAsia="宋体" w:cs="Times New Roman"/>
          <w:kern w:val="0"/>
          <w:sz w:val="24"/>
          <w:szCs w:val="24"/>
        </w:rPr>
        <w:t>竞争力，造就高素质、全面发展的</w:t>
      </w:r>
      <w:r>
        <w:rPr>
          <w:rFonts w:hint="eastAsia" w:ascii="Calibri" w:hAnsi="Calibri" w:eastAsia="宋体" w:cs="Times New Roman"/>
          <w:kern w:val="0"/>
          <w:sz w:val="24"/>
          <w:szCs w:val="24"/>
        </w:rPr>
        <w:t>中药制药行业</w:t>
      </w:r>
      <w:r>
        <w:rPr>
          <w:rFonts w:ascii="Calibri" w:hAnsi="Calibri" w:eastAsia="宋体" w:cs="Times New Roman"/>
          <w:kern w:val="0"/>
          <w:sz w:val="24"/>
          <w:szCs w:val="24"/>
        </w:rPr>
        <w:t>技能应用型人才而不断努力</w:t>
      </w:r>
      <w:r>
        <w:rPr>
          <w:rFonts w:hint="eastAsia" w:ascii="Calibri" w:hAnsi="Calibri" w:eastAsia="宋体" w:cs="Times New Roman"/>
          <w:kern w:val="0"/>
          <w:sz w:val="24"/>
          <w:szCs w:val="24"/>
        </w:rPr>
        <w:t>。</w:t>
      </w:r>
    </w:p>
    <w:p>
      <w:pPr>
        <w:widowControl/>
        <w:adjustRightInd w:val="0"/>
        <w:snapToGrid w:val="0"/>
        <w:spacing w:line="360" w:lineRule="auto"/>
        <w:jc w:val="left"/>
        <w:rPr>
          <w:rFonts w:ascii="Calibri" w:hAnsi="Calibri" w:eastAsia="宋体" w:cs="Times New Roman"/>
          <w:kern w:val="0"/>
          <w:sz w:val="24"/>
          <w:szCs w:val="24"/>
        </w:rPr>
      </w:pPr>
      <w:r>
        <w:rPr>
          <w:rFonts w:ascii="Calibri" w:hAnsi="Calibri" w:eastAsia="宋体" w:cs="Times New Roman"/>
          <w:kern w:val="0"/>
          <w:sz w:val="24"/>
          <w:szCs w:val="24"/>
        </w:rPr>
        <w:t>（</w:t>
      </w:r>
      <w:r>
        <w:rPr>
          <w:rFonts w:hint="eastAsia" w:ascii="Calibri" w:hAnsi="Calibri" w:eastAsia="宋体" w:cs="Times New Roman"/>
          <w:kern w:val="0"/>
          <w:sz w:val="24"/>
          <w:szCs w:val="24"/>
        </w:rPr>
        <w:t>2</w:t>
      </w:r>
      <w:r>
        <w:rPr>
          <w:rFonts w:ascii="Calibri" w:hAnsi="Calibri" w:eastAsia="宋体" w:cs="Times New Roman"/>
          <w:kern w:val="0"/>
          <w:sz w:val="24"/>
          <w:szCs w:val="24"/>
        </w:rPr>
        <w:t>）制度保障</w:t>
      </w:r>
    </w:p>
    <w:p>
      <w:pPr>
        <w:widowControl/>
        <w:adjustRightInd w:val="0"/>
        <w:snapToGrid w:val="0"/>
        <w:spacing w:line="360" w:lineRule="auto"/>
        <w:ind w:firstLine="480" w:firstLineChars="200"/>
        <w:jc w:val="left"/>
        <w:rPr>
          <w:rFonts w:ascii="Calibri" w:hAnsi="Calibri" w:eastAsia="宋体" w:cs="Times New Roman"/>
          <w:kern w:val="0"/>
          <w:sz w:val="24"/>
          <w:szCs w:val="24"/>
        </w:rPr>
      </w:pPr>
      <w:r>
        <w:rPr>
          <w:rFonts w:ascii="Calibri" w:hAnsi="Calibri" w:eastAsia="宋体" w:cs="Times New Roman"/>
          <w:kern w:val="0"/>
          <w:sz w:val="24"/>
          <w:szCs w:val="24"/>
        </w:rPr>
        <w:t>建立健全各项规章制度及激励机制等，为专业建设提供保障。</w:t>
      </w:r>
    </w:p>
    <w:p>
      <w:pPr>
        <w:widowControl/>
        <w:adjustRightInd w:val="0"/>
        <w:snapToGrid w:val="0"/>
        <w:spacing w:line="360" w:lineRule="auto"/>
        <w:jc w:val="left"/>
        <w:rPr>
          <w:rFonts w:ascii="Calibri" w:hAnsi="Calibri" w:eastAsia="宋体" w:cs="Times New Roman"/>
          <w:kern w:val="0"/>
          <w:sz w:val="24"/>
          <w:szCs w:val="24"/>
        </w:rPr>
      </w:pPr>
      <w:r>
        <w:rPr>
          <w:rFonts w:ascii="Calibri" w:hAnsi="Calibri" w:eastAsia="宋体" w:cs="Times New Roman"/>
          <w:kern w:val="0"/>
          <w:sz w:val="24"/>
          <w:szCs w:val="24"/>
        </w:rPr>
        <w:t>（</w:t>
      </w:r>
      <w:r>
        <w:rPr>
          <w:rFonts w:hint="eastAsia" w:ascii="Calibri" w:hAnsi="Calibri" w:eastAsia="宋体" w:cs="Times New Roman"/>
          <w:kern w:val="0"/>
          <w:sz w:val="24"/>
          <w:szCs w:val="24"/>
        </w:rPr>
        <w:t>3</w:t>
      </w:r>
      <w:r>
        <w:rPr>
          <w:rFonts w:ascii="Calibri" w:hAnsi="Calibri" w:eastAsia="宋体" w:cs="Times New Roman"/>
          <w:kern w:val="0"/>
          <w:sz w:val="24"/>
          <w:szCs w:val="24"/>
        </w:rPr>
        <w:t>）政策保障</w:t>
      </w:r>
    </w:p>
    <w:p>
      <w:pPr>
        <w:widowControl/>
        <w:adjustRightInd w:val="0"/>
        <w:snapToGrid w:val="0"/>
        <w:spacing w:line="360" w:lineRule="auto"/>
        <w:ind w:firstLine="480" w:firstLineChars="200"/>
        <w:jc w:val="left"/>
        <w:rPr>
          <w:rFonts w:ascii="Calibri" w:hAnsi="Calibri" w:eastAsia="宋体" w:cs="Times New Roman"/>
          <w:kern w:val="0"/>
          <w:sz w:val="24"/>
          <w:szCs w:val="24"/>
        </w:rPr>
      </w:pPr>
      <w:r>
        <w:rPr>
          <w:rFonts w:ascii="Calibri" w:hAnsi="Calibri" w:eastAsia="宋体" w:cs="Times New Roman"/>
          <w:kern w:val="0"/>
          <w:sz w:val="24"/>
          <w:szCs w:val="24"/>
        </w:rPr>
        <w:t>争取学校在教学条件、人才引进及培养、建设经费等给予倾斜，为专业建设提供有力保障。</w:t>
      </w:r>
    </w:p>
    <w:p>
      <w:pPr>
        <w:widowControl/>
        <w:adjustRightInd w:val="0"/>
        <w:snapToGrid w:val="0"/>
        <w:spacing w:line="360" w:lineRule="auto"/>
        <w:jc w:val="left"/>
        <w:rPr>
          <w:rFonts w:ascii="Calibri" w:hAnsi="Calibri" w:eastAsia="宋体" w:cs="Times New Roman"/>
          <w:kern w:val="0"/>
          <w:sz w:val="24"/>
          <w:szCs w:val="24"/>
        </w:rPr>
      </w:pPr>
      <w:r>
        <w:rPr>
          <w:rFonts w:ascii="Calibri" w:hAnsi="Calibri" w:eastAsia="宋体" w:cs="Times New Roman"/>
          <w:kern w:val="0"/>
          <w:sz w:val="24"/>
          <w:szCs w:val="24"/>
        </w:rPr>
        <w:t>（</w:t>
      </w:r>
      <w:r>
        <w:rPr>
          <w:rFonts w:hint="eastAsia" w:ascii="Calibri" w:hAnsi="Calibri" w:eastAsia="宋体" w:cs="Times New Roman"/>
          <w:kern w:val="0"/>
          <w:sz w:val="24"/>
          <w:szCs w:val="24"/>
        </w:rPr>
        <w:t>4</w:t>
      </w:r>
      <w:r>
        <w:rPr>
          <w:rFonts w:ascii="Calibri" w:hAnsi="Calibri" w:eastAsia="宋体" w:cs="Times New Roman"/>
          <w:kern w:val="0"/>
          <w:sz w:val="24"/>
          <w:szCs w:val="24"/>
        </w:rPr>
        <w:t>）经费保障</w:t>
      </w:r>
    </w:p>
    <w:p>
      <w:pPr>
        <w:widowControl/>
        <w:adjustRightInd w:val="0"/>
        <w:snapToGrid w:val="0"/>
        <w:spacing w:line="360" w:lineRule="auto"/>
        <w:ind w:firstLine="480" w:firstLineChars="200"/>
        <w:jc w:val="left"/>
        <w:rPr>
          <w:rFonts w:ascii="Calibri" w:hAnsi="Calibri" w:eastAsia="宋体" w:cs="Times New Roman"/>
          <w:kern w:val="0"/>
          <w:sz w:val="24"/>
          <w:szCs w:val="24"/>
        </w:rPr>
      </w:pPr>
      <w:r>
        <w:rPr>
          <w:rFonts w:ascii="Calibri" w:hAnsi="Calibri" w:eastAsia="宋体" w:cs="Times New Roman"/>
          <w:kern w:val="0"/>
          <w:sz w:val="24"/>
          <w:szCs w:val="24"/>
        </w:rPr>
        <w:t>三年学校</w:t>
      </w:r>
      <w:r>
        <w:rPr>
          <w:rFonts w:hint="eastAsia" w:ascii="Calibri" w:hAnsi="Calibri" w:eastAsia="宋体" w:cs="Times New Roman"/>
          <w:kern w:val="0"/>
          <w:sz w:val="24"/>
          <w:szCs w:val="24"/>
        </w:rPr>
        <w:t>和校企合作单位</w:t>
      </w:r>
      <w:r>
        <w:rPr>
          <w:rFonts w:ascii="Calibri" w:hAnsi="Calibri" w:eastAsia="宋体" w:cs="Times New Roman"/>
          <w:kern w:val="0"/>
          <w:sz w:val="24"/>
          <w:szCs w:val="24"/>
        </w:rPr>
        <w:t>在人才培养模式与课程体系改革、师资队伍建设、教学实验实训条件建设、教科研社会服务能力建设</w:t>
      </w:r>
      <w:r>
        <w:rPr>
          <w:rFonts w:hint="eastAsia" w:ascii="Calibri" w:hAnsi="Calibri" w:eastAsia="宋体" w:cs="Times New Roman"/>
          <w:kern w:val="0"/>
          <w:sz w:val="24"/>
          <w:szCs w:val="24"/>
        </w:rPr>
        <w:t>四</w:t>
      </w:r>
      <w:r>
        <w:rPr>
          <w:rFonts w:ascii="Calibri" w:hAnsi="Calibri" w:eastAsia="宋体" w:cs="Times New Roman"/>
          <w:kern w:val="0"/>
          <w:sz w:val="24"/>
          <w:szCs w:val="24"/>
        </w:rPr>
        <w:t>个方面计划</w:t>
      </w:r>
      <w:r>
        <w:rPr>
          <w:rFonts w:hint="eastAsia" w:ascii="Calibri" w:hAnsi="Calibri" w:eastAsia="宋体" w:cs="Times New Roman"/>
          <w:kern w:val="0"/>
          <w:sz w:val="24"/>
          <w:szCs w:val="24"/>
        </w:rPr>
        <w:t>再</w:t>
      </w:r>
      <w:r>
        <w:rPr>
          <w:rFonts w:ascii="Calibri" w:hAnsi="Calibri" w:eastAsia="宋体" w:cs="Times New Roman"/>
          <w:kern w:val="0"/>
          <w:sz w:val="24"/>
          <w:szCs w:val="24"/>
        </w:rPr>
        <w:t>投入</w:t>
      </w:r>
      <w:r>
        <w:rPr>
          <w:rFonts w:hint="eastAsia" w:ascii="Calibri" w:hAnsi="Calibri" w:eastAsia="宋体" w:cs="Times New Roman"/>
          <w:kern w:val="0"/>
          <w:sz w:val="24"/>
          <w:szCs w:val="24"/>
        </w:rPr>
        <w:t>190</w:t>
      </w:r>
      <w:r>
        <w:rPr>
          <w:rFonts w:ascii="Calibri" w:hAnsi="Calibri" w:eastAsia="宋体" w:cs="Times New Roman"/>
          <w:kern w:val="0"/>
          <w:sz w:val="24"/>
          <w:szCs w:val="24"/>
        </w:rPr>
        <w:t>万元人民币，其中教学实验实训条件建设部分投入</w:t>
      </w:r>
      <w:r>
        <w:rPr>
          <w:rFonts w:hint="eastAsia" w:ascii="Calibri" w:hAnsi="Calibri" w:eastAsia="宋体" w:cs="Times New Roman"/>
          <w:kern w:val="0"/>
          <w:sz w:val="24"/>
          <w:szCs w:val="24"/>
        </w:rPr>
        <w:t>100</w:t>
      </w:r>
      <w:r>
        <w:rPr>
          <w:rFonts w:ascii="Calibri" w:hAnsi="Calibri" w:eastAsia="宋体" w:cs="Times New Roman"/>
          <w:kern w:val="0"/>
          <w:sz w:val="24"/>
          <w:szCs w:val="24"/>
        </w:rPr>
        <w:t>万元，为本专业的建设与发展提供了充足的经费保障。</w:t>
      </w:r>
    </w:p>
    <w:p>
      <w:pPr>
        <w:spacing w:line="360" w:lineRule="auto"/>
        <w:rPr>
          <w:rFonts w:ascii="微软雅黑" w:hAnsi="微软雅黑" w:eastAsia="微软雅黑"/>
          <w:b/>
          <w:bCs/>
          <w:sz w:val="28"/>
          <w:szCs w:val="28"/>
        </w:rPr>
      </w:pPr>
      <w:r>
        <w:rPr>
          <w:rFonts w:hint="eastAsia" w:ascii="微软雅黑" w:hAnsi="微软雅黑" w:eastAsia="微软雅黑"/>
          <w:b/>
          <w:bCs/>
          <w:sz w:val="28"/>
          <w:szCs w:val="28"/>
        </w:rPr>
        <w:t>五、人才培养模式和培养方案</w:t>
      </w:r>
    </w:p>
    <w:p>
      <w:pPr>
        <w:widowControl/>
        <w:adjustRightInd w:val="0"/>
        <w:snapToGrid w:val="0"/>
        <w:spacing w:before="156" w:beforeLines="50" w:line="360" w:lineRule="auto"/>
        <w:jc w:val="left"/>
        <w:rPr>
          <w:rFonts w:ascii="Times New Roman" w:hAnsi="Times New Roman" w:eastAsia="宋体" w:cs="Times New Roman"/>
          <w:b/>
          <w:bCs/>
          <w:kern w:val="0"/>
          <w:sz w:val="28"/>
          <w:szCs w:val="28"/>
        </w:rPr>
      </w:pPr>
      <w:r>
        <w:rPr>
          <w:rFonts w:ascii="Times New Roman" w:hAnsi="Times New Roman" w:eastAsia="宋体" w:cs="Times New Roman"/>
          <w:b/>
          <w:bCs/>
          <w:kern w:val="0"/>
          <w:sz w:val="28"/>
          <w:szCs w:val="28"/>
        </w:rPr>
        <w:t>（一）</w:t>
      </w:r>
      <w:r>
        <w:rPr>
          <w:rFonts w:ascii="宋体" w:hAnsi="宋体" w:eastAsia="宋体" w:cs="Times New Roman"/>
          <w:b/>
          <w:sz w:val="28"/>
          <w:szCs w:val="28"/>
        </w:rPr>
        <w:t>职业能力、职业素质“定岗</w:t>
      </w:r>
      <w:r>
        <w:rPr>
          <w:rFonts w:hint="eastAsia" w:ascii="宋体" w:hAnsi="宋体" w:eastAsia="宋体" w:cs="Times New Roman"/>
          <w:b/>
          <w:sz w:val="28"/>
          <w:szCs w:val="28"/>
        </w:rPr>
        <w:t>式</w:t>
      </w:r>
      <w:r>
        <w:rPr>
          <w:rFonts w:ascii="宋体" w:hAnsi="宋体" w:eastAsia="宋体" w:cs="Times New Roman"/>
          <w:b/>
          <w:sz w:val="28"/>
          <w:szCs w:val="28"/>
        </w:rPr>
        <w:t>”工学结合的人才培养模式</w:t>
      </w:r>
    </w:p>
    <w:p>
      <w:pPr>
        <w:widowControl/>
        <w:adjustRightInd w:val="0"/>
        <w:snapToGrid w:val="0"/>
        <w:spacing w:line="360" w:lineRule="auto"/>
        <w:jc w:val="left"/>
        <w:rPr>
          <w:rFonts w:ascii="宋体" w:hAnsi="宋体" w:eastAsia="宋体" w:cs="Times New Roman"/>
          <w:b/>
          <w:bCs/>
          <w:sz w:val="24"/>
          <w:szCs w:val="24"/>
        </w:rPr>
      </w:pPr>
      <w:r>
        <w:rPr>
          <w:rFonts w:ascii="宋体" w:hAnsi="宋体" w:eastAsia="宋体" w:cs="Times New Roman"/>
          <w:b/>
          <w:bCs/>
          <w:sz w:val="24"/>
          <w:szCs w:val="24"/>
        </w:rPr>
        <w:t>（1）建立专业建设组织机构</w:t>
      </w:r>
    </w:p>
    <w:p>
      <w:pPr>
        <w:widowControl/>
        <w:adjustRightInd w:val="0"/>
        <w:snapToGrid w:val="0"/>
        <w:spacing w:line="360" w:lineRule="auto"/>
        <w:ind w:firstLine="560"/>
        <w:rPr>
          <w:rFonts w:ascii="宋体" w:hAnsi="宋体" w:eastAsia="宋体" w:cs="Times New Roman"/>
          <w:sz w:val="24"/>
          <w:szCs w:val="24"/>
        </w:rPr>
      </w:pPr>
      <w:r>
        <w:rPr>
          <w:rFonts w:ascii="宋体" w:hAnsi="宋体" w:eastAsia="宋体" w:cs="Times New Roman"/>
          <w:sz w:val="24"/>
          <w:szCs w:val="24"/>
        </w:rPr>
        <w:t>在校理事会领导下，成立</w:t>
      </w:r>
      <w:r>
        <w:rPr>
          <w:rFonts w:hint="eastAsia" w:ascii="宋体" w:hAnsi="宋体" w:eastAsia="宋体" w:cs="Times New Roman"/>
          <w:sz w:val="24"/>
          <w:szCs w:val="24"/>
        </w:rPr>
        <w:t>中药制药</w:t>
      </w:r>
      <w:r>
        <w:rPr>
          <w:rFonts w:ascii="宋体" w:hAnsi="宋体" w:eastAsia="宋体" w:cs="Times New Roman"/>
          <w:sz w:val="24"/>
          <w:szCs w:val="24"/>
        </w:rPr>
        <w:t>专业建设指导委员会。委员会成员包括专业带头人、专业骨干教师、合作</w:t>
      </w:r>
      <w:r>
        <w:rPr>
          <w:rFonts w:hint="eastAsia" w:ascii="宋体" w:hAnsi="宋体" w:eastAsia="宋体" w:cs="Times New Roman"/>
          <w:sz w:val="24"/>
          <w:szCs w:val="24"/>
        </w:rPr>
        <w:t>企业</w:t>
      </w:r>
      <w:r>
        <w:rPr>
          <w:rFonts w:ascii="宋体" w:hAnsi="宋体" w:eastAsia="宋体" w:cs="Times New Roman"/>
          <w:sz w:val="24"/>
          <w:szCs w:val="24"/>
        </w:rPr>
        <w:t>的</w:t>
      </w:r>
      <w:r>
        <w:rPr>
          <w:rFonts w:hint="eastAsia" w:ascii="宋体" w:hAnsi="宋体" w:eastAsia="宋体" w:cs="Times New Roman"/>
          <w:sz w:val="24"/>
          <w:szCs w:val="24"/>
        </w:rPr>
        <w:t>中药制药行业</w:t>
      </w:r>
      <w:r>
        <w:rPr>
          <w:rFonts w:ascii="宋体" w:hAnsi="宋体" w:eastAsia="宋体" w:cs="Times New Roman"/>
          <w:sz w:val="24"/>
          <w:szCs w:val="24"/>
        </w:rPr>
        <w:t>专家。明确责任、权利和义务，强化合约意识与责任意识，细化分工，规范工作运行；二是建立工作计划制度，每学年初制定工作计划，研究部署有关工作</w:t>
      </w:r>
      <w:r>
        <w:rPr>
          <w:rFonts w:hint="eastAsia" w:ascii="宋体" w:hAnsi="宋体" w:eastAsia="宋体" w:cs="Times New Roman"/>
          <w:sz w:val="24"/>
          <w:szCs w:val="24"/>
        </w:rPr>
        <w:t>,</w:t>
      </w:r>
      <w:r>
        <w:rPr>
          <w:rFonts w:ascii="宋体" w:hAnsi="宋体" w:eastAsia="宋体" w:cs="Times New Roman"/>
          <w:sz w:val="24"/>
          <w:szCs w:val="24"/>
        </w:rPr>
        <w:t>学年末做好总结。执行工作例会制度，委员会原则上至少每半年召开一次全体会议；三是通过行业人才需求调研，经过科学认证，研究制定以提高素质为基础，以岗位职业能力为本位的人才培养目标及方案，优化人才培养方案、构建基于</w:t>
      </w:r>
      <w:r>
        <w:rPr>
          <w:rFonts w:hint="eastAsia" w:ascii="宋体" w:hAnsi="宋体" w:eastAsia="宋体" w:cs="Times New Roman"/>
          <w:sz w:val="24"/>
          <w:szCs w:val="24"/>
        </w:rPr>
        <w:t>中药生产、经营与管理</w:t>
      </w:r>
      <w:r>
        <w:rPr>
          <w:rFonts w:ascii="宋体" w:hAnsi="宋体" w:eastAsia="宋体" w:cs="Times New Roman"/>
          <w:sz w:val="24"/>
          <w:szCs w:val="24"/>
        </w:rPr>
        <w:t>职业岗位能力的工作任务的课程体系，并负责培养方案在实施过程中的具体指导；制定和修订实施性教学计划，开展教学研究和课程开发，探讨教学和实践，不断完善学生见习、实习管理制度，使工学结合教学规范化、制度化。</w:t>
      </w:r>
    </w:p>
    <w:p>
      <w:pPr>
        <w:widowControl/>
        <w:adjustRightInd w:val="0"/>
        <w:snapToGrid w:val="0"/>
        <w:spacing w:line="360" w:lineRule="auto"/>
        <w:jc w:val="left"/>
        <w:rPr>
          <w:rFonts w:ascii="宋体" w:hAnsi="宋体" w:eastAsia="宋体" w:cs="Times New Roman"/>
          <w:b/>
          <w:bCs/>
          <w:sz w:val="24"/>
          <w:szCs w:val="24"/>
        </w:rPr>
      </w:pPr>
      <w:r>
        <w:rPr>
          <w:rFonts w:ascii="宋体" w:hAnsi="宋体" w:eastAsia="宋体" w:cs="Times New Roman"/>
          <w:b/>
          <w:bCs/>
          <w:sz w:val="24"/>
          <w:szCs w:val="24"/>
        </w:rPr>
        <w:t>（2）定期专业调研，确定人才培养规格</w:t>
      </w:r>
    </w:p>
    <w:p>
      <w:pPr>
        <w:widowControl/>
        <w:adjustRightInd w:val="0"/>
        <w:snapToGrid w:val="0"/>
        <w:spacing w:line="360" w:lineRule="auto"/>
        <w:ind w:firstLine="560"/>
        <w:jc w:val="left"/>
        <w:rPr>
          <w:rFonts w:ascii="宋体" w:hAnsi="宋体" w:eastAsia="宋体" w:cs="Times New Roman"/>
          <w:sz w:val="24"/>
          <w:szCs w:val="24"/>
        </w:rPr>
      </w:pPr>
      <w:r>
        <w:rPr>
          <w:rFonts w:ascii="宋体" w:hAnsi="宋体" w:eastAsia="宋体" w:cs="Times New Roman"/>
          <w:sz w:val="24"/>
          <w:szCs w:val="24"/>
        </w:rPr>
        <w:t>专业建设团队在</w:t>
      </w:r>
      <w:r>
        <w:rPr>
          <w:rFonts w:hint="eastAsia" w:ascii="宋体" w:hAnsi="宋体" w:eastAsia="宋体" w:cs="Times New Roman"/>
          <w:kern w:val="0"/>
          <w:sz w:val="24"/>
          <w:szCs w:val="28"/>
        </w:rPr>
        <w:t>中药制药</w:t>
      </w:r>
      <w:r>
        <w:rPr>
          <w:rFonts w:ascii="宋体" w:hAnsi="宋体" w:eastAsia="宋体" w:cs="Times New Roman"/>
          <w:sz w:val="24"/>
          <w:szCs w:val="24"/>
        </w:rPr>
        <w:t>专业指导委员会的指导下，通过多种方式进行专业调研。</w:t>
      </w:r>
    </w:p>
    <w:p>
      <w:pPr>
        <w:widowControl/>
        <w:adjustRightInd w:val="0"/>
        <w:snapToGrid w:val="0"/>
        <w:spacing w:line="360" w:lineRule="auto"/>
        <w:ind w:firstLine="240" w:firstLineChars="100"/>
        <w:jc w:val="left"/>
        <w:rPr>
          <w:rFonts w:ascii="宋体" w:hAnsi="宋体" w:eastAsia="宋体" w:cs="Times New Roman"/>
          <w:sz w:val="24"/>
          <w:szCs w:val="24"/>
        </w:rPr>
      </w:pPr>
      <w:r>
        <w:rPr>
          <w:rFonts w:ascii="宋体" w:hAnsi="宋体" w:eastAsia="宋体" w:cs="Times New Roman"/>
          <w:sz w:val="24"/>
          <w:szCs w:val="24"/>
        </w:rPr>
        <w:t>①通过向</w:t>
      </w:r>
      <w:r>
        <w:rPr>
          <w:rFonts w:hint="eastAsia" w:ascii="宋体" w:hAnsi="宋体" w:eastAsia="宋体" w:cs="Times New Roman"/>
          <w:sz w:val="24"/>
          <w:szCs w:val="24"/>
        </w:rPr>
        <w:t>广州市医药企业</w:t>
      </w:r>
      <w:r>
        <w:rPr>
          <w:rFonts w:ascii="宋体" w:hAnsi="宋体" w:eastAsia="宋体" w:cs="Times New Roman"/>
          <w:sz w:val="24"/>
          <w:szCs w:val="24"/>
        </w:rPr>
        <w:t>下发专业人才培养调查问卷，了解</w:t>
      </w:r>
      <w:r>
        <w:rPr>
          <w:rFonts w:hint="eastAsia" w:ascii="宋体" w:hAnsi="宋体" w:eastAsia="宋体" w:cs="Times New Roman"/>
          <w:sz w:val="24"/>
          <w:szCs w:val="24"/>
        </w:rPr>
        <w:t>行业企业单位的</w:t>
      </w:r>
      <w:r>
        <w:rPr>
          <w:rFonts w:ascii="宋体" w:hAnsi="宋体" w:eastAsia="宋体" w:cs="Times New Roman"/>
          <w:sz w:val="24"/>
          <w:szCs w:val="24"/>
        </w:rPr>
        <w:t>最新的</w:t>
      </w:r>
      <w:r>
        <w:rPr>
          <w:rFonts w:hint="eastAsia" w:ascii="宋体" w:hAnsi="宋体" w:eastAsia="宋体" w:cs="Times New Roman"/>
          <w:kern w:val="0"/>
          <w:sz w:val="24"/>
          <w:szCs w:val="28"/>
        </w:rPr>
        <w:t>中药制药</w:t>
      </w:r>
      <w:r>
        <w:rPr>
          <w:rFonts w:hint="eastAsia" w:ascii="宋体" w:hAnsi="宋体" w:eastAsia="宋体" w:cs="Times New Roman"/>
          <w:sz w:val="24"/>
          <w:szCs w:val="24"/>
        </w:rPr>
        <w:t>行业</w:t>
      </w:r>
      <w:r>
        <w:rPr>
          <w:rFonts w:ascii="宋体" w:hAnsi="宋体" w:eastAsia="宋体" w:cs="Times New Roman"/>
          <w:sz w:val="24"/>
          <w:szCs w:val="24"/>
        </w:rPr>
        <w:t>对人才的要求；</w:t>
      </w:r>
    </w:p>
    <w:p>
      <w:pPr>
        <w:widowControl/>
        <w:adjustRightInd w:val="0"/>
        <w:snapToGrid w:val="0"/>
        <w:spacing w:line="360" w:lineRule="auto"/>
        <w:ind w:firstLine="240" w:firstLineChars="100"/>
        <w:jc w:val="left"/>
        <w:rPr>
          <w:rFonts w:ascii="宋体" w:hAnsi="宋体" w:eastAsia="宋体" w:cs="Times New Roman"/>
          <w:sz w:val="24"/>
          <w:szCs w:val="24"/>
        </w:rPr>
      </w:pPr>
      <w:r>
        <w:rPr>
          <w:rFonts w:ascii="宋体" w:hAnsi="宋体" w:eastAsia="宋体" w:cs="Times New Roman"/>
          <w:sz w:val="24"/>
          <w:szCs w:val="24"/>
        </w:rPr>
        <w:t>②专业带头人利用每年学校、二级学院举行的校园招聘会，与参会的用人单位沟通，了解用人单位对</w:t>
      </w:r>
      <w:r>
        <w:rPr>
          <w:rFonts w:hint="eastAsia" w:ascii="宋体" w:hAnsi="宋体" w:eastAsia="宋体" w:cs="Times New Roman"/>
          <w:sz w:val="24"/>
          <w:szCs w:val="24"/>
        </w:rPr>
        <w:t>中药制药行业对</w:t>
      </w:r>
      <w:r>
        <w:rPr>
          <w:rFonts w:ascii="宋体" w:hAnsi="宋体" w:eastAsia="宋体" w:cs="Times New Roman"/>
          <w:sz w:val="24"/>
          <w:szCs w:val="24"/>
        </w:rPr>
        <w:t>专业人才的规格要求；</w:t>
      </w:r>
    </w:p>
    <w:p>
      <w:pPr>
        <w:widowControl/>
        <w:adjustRightInd w:val="0"/>
        <w:snapToGrid w:val="0"/>
        <w:spacing w:line="360" w:lineRule="auto"/>
        <w:ind w:firstLine="240" w:firstLineChars="100"/>
        <w:jc w:val="left"/>
        <w:rPr>
          <w:rFonts w:ascii="宋体" w:hAnsi="宋体" w:eastAsia="宋体" w:cs="Times New Roman"/>
          <w:sz w:val="24"/>
          <w:szCs w:val="24"/>
        </w:rPr>
      </w:pPr>
      <w:r>
        <w:rPr>
          <w:rFonts w:ascii="宋体" w:hAnsi="宋体" w:eastAsia="宋体" w:cs="Times New Roman"/>
          <w:sz w:val="24"/>
          <w:szCs w:val="24"/>
        </w:rPr>
        <w:t>③利用每年到用人单位巡查学生顶岗实习的机会，走访用人单位，了解用人单位对毕业生的使用情况；</w:t>
      </w:r>
    </w:p>
    <w:p>
      <w:pPr>
        <w:widowControl/>
        <w:adjustRightInd w:val="0"/>
        <w:snapToGrid w:val="0"/>
        <w:spacing w:line="360" w:lineRule="auto"/>
        <w:ind w:firstLine="240" w:firstLineChars="100"/>
        <w:jc w:val="left"/>
        <w:rPr>
          <w:rFonts w:ascii="宋体" w:hAnsi="宋体" w:eastAsia="宋体" w:cs="Times New Roman"/>
          <w:sz w:val="24"/>
          <w:szCs w:val="24"/>
        </w:rPr>
      </w:pPr>
      <w:r>
        <w:rPr>
          <w:rFonts w:ascii="宋体" w:hAnsi="宋体" w:eastAsia="宋体" w:cs="Times New Roman"/>
          <w:sz w:val="24"/>
          <w:szCs w:val="24"/>
        </w:rPr>
        <w:t>④利用每年学生实习回校参加</w:t>
      </w:r>
      <w:r>
        <w:rPr>
          <w:rFonts w:hint="eastAsia" w:ascii="宋体" w:hAnsi="宋体" w:eastAsia="宋体" w:cs="Times New Roman"/>
          <w:kern w:val="0"/>
          <w:sz w:val="24"/>
          <w:szCs w:val="28"/>
        </w:rPr>
        <w:t>中药制药</w:t>
      </w:r>
      <w:r>
        <w:rPr>
          <w:rFonts w:ascii="宋体" w:hAnsi="宋体" w:eastAsia="宋体" w:cs="Times New Roman"/>
          <w:sz w:val="24"/>
          <w:szCs w:val="24"/>
        </w:rPr>
        <w:t>行业相关资格考核、毕业考试和办理离校手续的机会，与学生面对面沟通，了解学生对教学安排及专业培养方案的意见；</w:t>
      </w:r>
    </w:p>
    <w:p>
      <w:pPr>
        <w:widowControl/>
        <w:adjustRightInd w:val="0"/>
        <w:snapToGrid w:val="0"/>
        <w:spacing w:line="360" w:lineRule="auto"/>
        <w:ind w:firstLine="240" w:firstLineChars="100"/>
        <w:jc w:val="left"/>
        <w:rPr>
          <w:rFonts w:ascii="宋体" w:hAnsi="宋体" w:eastAsia="宋体" w:cs="Times New Roman"/>
          <w:sz w:val="24"/>
          <w:szCs w:val="24"/>
        </w:rPr>
      </w:pPr>
      <w:r>
        <w:rPr>
          <w:rFonts w:ascii="宋体" w:hAnsi="宋体" w:eastAsia="宋体" w:cs="Times New Roman"/>
          <w:sz w:val="24"/>
          <w:szCs w:val="24"/>
        </w:rPr>
        <w:t>⑤每年面向毕业生发放就业跟踪调查表，了解毕业生对学校教学的意见。</w:t>
      </w:r>
    </w:p>
    <w:p>
      <w:pPr>
        <w:widowControl/>
        <w:adjustRightInd w:val="0"/>
        <w:snapToGrid w:val="0"/>
        <w:spacing w:line="360" w:lineRule="auto"/>
        <w:ind w:firstLine="480" w:firstLineChars="200"/>
        <w:jc w:val="left"/>
        <w:rPr>
          <w:rFonts w:ascii="宋体" w:hAnsi="宋体" w:eastAsia="宋体" w:cs="Times New Roman"/>
          <w:sz w:val="24"/>
          <w:szCs w:val="24"/>
        </w:rPr>
      </w:pPr>
      <w:r>
        <w:rPr>
          <w:rFonts w:ascii="宋体" w:hAnsi="宋体" w:eastAsia="宋体" w:cs="Times New Roman"/>
          <w:sz w:val="24"/>
          <w:szCs w:val="24"/>
        </w:rPr>
        <w:t>在专业调研的基础上，分析并确定</w:t>
      </w:r>
      <w:r>
        <w:rPr>
          <w:rFonts w:hint="eastAsia" w:ascii="宋体" w:hAnsi="宋体" w:eastAsia="宋体" w:cs="Times New Roman"/>
          <w:kern w:val="0"/>
          <w:sz w:val="24"/>
          <w:szCs w:val="28"/>
        </w:rPr>
        <w:t>中药制药生产、</w:t>
      </w:r>
      <w:r>
        <w:rPr>
          <w:rFonts w:hint="eastAsia" w:ascii="宋体" w:hAnsi="宋体" w:eastAsia="宋体" w:cs="Times New Roman"/>
          <w:sz w:val="24"/>
          <w:szCs w:val="24"/>
        </w:rPr>
        <w:t>经营与管理</w:t>
      </w:r>
      <w:r>
        <w:rPr>
          <w:rFonts w:ascii="宋体" w:hAnsi="宋体" w:eastAsia="宋体" w:cs="Times New Roman"/>
          <w:sz w:val="24"/>
          <w:szCs w:val="24"/>
        </w:rPr>
        <w:t>专业的主要就业岗位、工作任务、岗位能力要求，结合相关资格考试要求，校院双方共同调整专业人才培养目标，确定人才培养规格。</w:t>
      </w:r>
    </w:p>
    <w:p>
      <w:pPr>
        <w:widowControl/>
        <w:adjustRightInd w:val="0"/>
        <w:snapToGrid w:val="0"/>
        <w:spacing w:line="360" w:lineRule="auto"/>
        <w:ind w:left="482" w:hanging="482" w:hangingChars="200"/>
        <w:jc w:val="left"/>
        <w:rPr>
          <w:rFonts w:ascii="宋体" w:hAnsi="宋体" w:eastAsia="宋体" w:cs="Times New Roman"/>
          <w:b/>
          <w:bCs/>
          <w:sz w:val="24"/>
          <w:szCs w:val="24"/>
        </w:rPr>
      </w:pPr>
      <w:r>
        <w:rPr>
          <w:rFonts w:ascii="宋体" w:hAnsi="宋体" w:eastAsia="宋体" w:cs="Times New Roman"/>
          <w:b/>
          <w:bCs/>
          <w:sz w:val="24"/>
          <w:szCs w:val="24"/>
        </w:rPr>
        <w:t>（3）</w:t>
      </w:r>
      <w:r>
        <w:rPr>
          <w:rFonts w:hint="eastAsia" w:ascii="宋体" w:hAnsi="宋体" w:eastAsia="宋体" w:cs="Times New Roman"/>
          <w:b/>
          <w:bCs/>
          <w:sz w:val="24"/>
          <w:szCs w:val="24"/>
        </w:rPr>
        <w:t>校企</w:t>
      </w:r>
      <w:r>
        <w:rPr>
          <w:rFonts w:ascii="宋体" w:hAnsi="宋体" w:eastAsia="宋体" w:cs="Times New Roman"/>
          <w:b/>
          <w:bCs/>
          <w:sz w:val="24"/>
          <w:szCs w:val="24"/>
        </w:rPr>
        <w:t>共同制定</w:t>
      </w:r>
      <w:r>
        <w:rPr>
          <w:rFonts w:hint="eastAsia" w:ascii="宋体" w:hAnsi="宋体" w:eastAsia="宋体" w:cs="Times New Roman"/>
          <w:b/>
          <w:bCs/>
          <w:kern w:val="0"/>
          <w:sz w:val="24"/>
          <w:szCs w:val="28"/>
        </w:rPr>
        <w:t>中药制药</w:t>
      </w:r>
      <w:r>
        <w:rPr>
          <w:rFonts w:ascii="宋体" w:hAnsi="宋体" w:eastAsia="宋体" w:cs="Times New Roman"/>
          <w:b/>
          <w:bCs/>
          <w:sz w:val="24"/>
          <w:szCs w:val="24"/>
        </w:rPr>
        <w:t>专业人才培养方案，逐步形成职业能力、职业素质“递进式”工学结合的人才培养模式</w:t>
      </w:r>
    </w:p>
    <w:p>
      <w:pPr>
        <w:widowControl/>
        <w:adjustRightInd w:val="0"/>
        <w:snapToGrid w:val="0"/>
        <w:spacing w:line="360" w:lineRule="auto"/>
        <w:ind w:firstLine="480" w:firstLineChars="200"/>
        <w:jc w:val="left"/>
        <w:rPr>
          <w:rFonts w:ascii="宋体" w:hAnsi="宋体" w:eastAsia="宋体" w:cs="Times New Roman"/>
          <w:sz w:val="24"/>
          <w:szCs w:val="24"/>
        </w:rPr>
      </w:pPr>
      <w:r>
        <w:rPr>
          <w:rFonts w:ascii="宋体" w:hAnsi="宋体" w:eastAsia="宋体" w:cs="Times New Roman"/>
          <w:sz w:val="24"/>
          <w:szCs w:val="24"/>
        </w:rPr>
        <w:t>依据收集到的第一手原始材料，进行分析提炼，明确</w:t>
      </w:r>
      <w:r>
        <w:rPr>
          <w:rFonts w:hint="eastAsia" w:ascii="宋体" w:hAnsi="宋体" w:eastAsia="宋体" w:cs="Times New Roman"/>
          <w:kern w:val="0"/>
          <w:sz w:val="24"/>
          <w:szCs w:val="28"/>
        </w:rPr>
        <w:t>中药制药</w:t>
      </w:r>
      <w:r>
        <w:rPr>
          <w:rFonts w:ascii="宋体" w:hAnsi="宋体" w:eastAsia="宋体" w:cs="Times New Roman"/>
          <w:sz w:val="24"/>
          <w:szCs w:val="24"/>
        </w:rPr>
        <w:t>专业岗位能力与岗位能力需求，按照职业能力、职业素质“</w:t>
      </w:r>
      <w:r>
        <w:rPr>
          <w:rFonts w:hint="eastAsia" w:ascii="宋体" w:hAnsi="宋体" w:eastAsia="宋体" w:cs="Times New Roman"/>
          <w:sz w:val="24"/>
          <w:szCs w:val="24"/>
        </w:rPr>
        <w:t>定岗式</w:t>
      </w:r>
      <w:r>
        <w:rPr>
          <w:rFonts w:ascii="宋体" w:hAnsi="宋体" w:eastAsia="宋体" w:cs="Times New Roman"/>
          <w:sz w:val="24"/>
          <w:szCs w:val="24"/>
        </w:rPr>
        <w:t>”工学结合的人才培养模式的要求进一步构建以能力培养为主线、人文素养并举的人才培养方案。实现</w:t>
      </w:r>
      <w:r>
        <w:rPr>
          <w:rFonts w:hint="eastAsia" w:ascii="宋体" w:hAnsi="宋体" w:eastAsia="宋体" w:cs="Times New Roman"/>
          <w:kern w:val="0"/>
          <w:sz w:val="24"/>
          <w:szCs w:val="28"/>
        </w:rPr>
        <w:t>中药制药生产、</w:t>
      </w:r>
      <w:r>
        <w:rPr>
          <w:rFonts w:hint="eastAsia" w:ascii="宋体" w:hAnsi="宋体" w:eastAsia="宋体" w:cs="Times New Roman"/>
          <w:sz w:val="24"/>
          <w:szCs w:val="24"/>
        </w:rPr>
        <w:t>经营与管理</w:t>
      </w:r>
      <w:r>
        <w:rPr>
          <w:rFonts w:ascii="宋体" w:hAnsi="宋体" w:eastAsia="宋体" w:cs="Times New Roman"/>
          <w:sz w:val="24"/>
          <w:szCs w:val="24"/>
        </w:rPr>
        <w:t>专业学生全面发展、个性发展和专业素质发展的有机统一。具体措施如下：</w:t>
      </w:r>
    </w:p>
    <w:p>
      <w:pPr>
        <w:widowControl/>
        <w:adjustRightInd w:val="0"/>
        <w:snapToGrid w:val="0"/>
        <w:spacing w:line="360" w:lineRule="auto"/>
        <w:ind w:firstLine="560"/>
        <w:jc w:val="left"/>
        <w:rPr>
          <w:rFonts w:ascii="宋体" w:hAnsi="宋体" w:eastAsia="宋体" w:cs="Times New Roman"/>
          <w:sz w:val="24"/>
          <w:szCs w:val="24"/>
        </w:rPr>
      </w:pPr>
      <w:r>
        <w:rPr>
          <w:rFonts w:ascii="宋体" w:hAnsi="宋体" w:eastAsia="宋体" w:cs="Times New Roman"/>
          <w:sz w:val="24"/>
          <w:szCs w:val="24"/>
        </w:rPr>
        <w:t>①在知识结构上，注重 “基本理论、基本知识、基本技能”的同时，重视基础知识与专业知识的交叉融合，人文科学与</w:t>
      </w:r>
      <w:r>
        <w:rPr>
          <w:rFonts w:hint="eastAsia" w:ascii="宋体" w:hAnsi="宋体" w:eastAsia="宋体" w:cs="Times New Roman"/>
          <w:kern w:val="0"/>
          <w:sz w:val="24"/>
          <w:szCs w:val="28"/>
        </w:rPr>
        <w:t>中药制药</w:t>
      </w:r>
      <w:r>
        <w:rPr>
          <w:rFonts w:ascii="宋体" w:hAnsi="宋体" w:eastAsia="宋体" w:cs="Times New Roman"/>
          <w:sz w:val="24"/>
          <w:szCs w:val="24"/>
        </w:rPr>
        <w:t>学科的有机结合，突出</w:t>
      </w:r>
      <w:r>
        <w:rPr>
          <w:rFonts w:hint="eastAsia" w:ascii="宋体" w:hAnsi="宋体" w:eastAsia="宋体" w:cs="Times New Roman"/>
          <w:sz w:val="24"/>
          <w:szCs w:val="24"/>
        </w:rPr>
        <w:t>化妆品</w:t>
      </w:r>
      <w:r>
        <w:rPr>
          <w:rFonts w:ascii="宋体" w:hAnsi="宋体" w:eastAsia="宋体" w:cs="Times New Roman"/>
          <w:sz w:val="24"/>
          <w:szCs w:val="24"/>
        </w:rPr>
        <w:t>专业的特色和优势。</w:t>
      </w:r>
    </w:p>
    <w:p>
      <w:pPr>
        <w:widowControl/>
        <w:adjustRightInd w:val="0"/>
        <w:snapToGrid w:val="0"/>
        <w:spacing w:line="360" w:lineRule="auto"/>
        <w:ind w:firstLine="560"/>
        <w:jc w:val="left"/>
        <w:rPr>
          <w:rFonts w:ascii="宋体" w:hAnsi="宋体" w:eastAsia="宋体" w:cs="Times New Roman"/>
          <w:sz w:val="24"/>
          <w:szCs w:val="24"/>
        </w:rPr>
      </w:pPr>
      <w:r>
        <w:rPr>
          <w:rFonts w:ascii="宋体" w:hAnsi="宋体" w:eastAsia="宋体" w:cs="Times New Roman"/>
          <w:sz w:val="24"/>
          <w:szCs w:val="24"/>
        </w:rPr>
        <w:t>②在能力结构上，强调实践能力，尤其是</w:t>
      </w:r>
      <w:r>
        <w:rPr>
          <w:rFonts w:hint="eastAsia" w:ascii="宋体" w:hAnsi="宋体" w:eastAsia="宋体" w:cs="Times New Roman"/>
          <w:sz w:val="24"/>
          <w:szCs w:val="24"/>
        </w:rPr>
        <w:t>实际</w:t>
      </w:r>
      <w:r>
        <w:rPr>
          <w:rFonts w:ascii="宋体" w:hAnsi="宋体" w:eastAsia="宋体" w:cs="Times New Roman"/>
          <w:sz w:val="24"/>
          <w:szCs w:val="24"/>
        </w:rPr>
        <w:t>技能要求，突出</w:t>
      </w:r>
      <w:r>
        <w:rPr>
          <w:rFonts w:hint="eastAsia" w:ascii="宋体" w:hAnsi="宋体" w:eastAsia="宋体" w:cs="Times New Roman"/>
          <w:sz w:val="24"/>
          <w:szCs w:val="24"/>
        </w:rPr>
        <w:t>实际</w:t>
      </w:r>
      <w:r>
        <w:rPr>
          <w:rFonts w:ascii="宋体" w:hAnsi="宋体" w:eastAsia="宋体" w:cs="Times New Roman"/>
          <w:sz w:val="24"/>
          <w:szCs w:val="24"/>
        </w:rPr>
        <w:t>技能训练、考核和思维能力训练。</w:t>
      </w:r>
    </w:p>
    <w:p>
      <w:pPr>
        <w:widowControl/>
        <w:adjustRightInd w:val="0"/>
        <w:snapToGrid w:val="0"/>
        <w:spacing w:line="360" w:lineRule="auto"/>
        <w:ind w:firstLine="560"/>
        <w:jc w:val="left"/>
        <w:rPr>
          <w:rFonts w:ascii="宋体" w:hAnsi="宋体" w:eastAsia="宋体" w:cs="Times New Roman"/>
          <w:sz w:val="24"/>
          <w:szCs w:val="24"/>
        </w:rPr>
      </w:pPr>
      <w:r>
        <w:rPr>
          <w:rFonts w:ascii="宋体" w:hAnsi="宋体" w:eastAsia="宋体" w:cs="Times New Roman"/>
          <w:sz w:val="24"/>
          <w:szCs w:val="24"/>
        </w:rPr>
        <w:t>③在综合素质的培养上，重视人文素质教育，培养人文精神，培育创新精神，提升学生发展潜力，促进学生知识、能力、素质的协调发展。</w:t>
      </w:r>
    </w:p>
    <w:p>
      <w:pPr>
        <w:widowControl/>
        <w:adjustRightInd w:val="0"/>
        <w:snapToGrid w:val="0"/>
        <w:spacing w:line="360" w:lineRule="auto"/>
        <w:ind w:firstLine="560"/>
        <w:jc w:val="left"/>
        <w:rPr>
          <w:rFonts w:ascii="宋体" w:hAnsi="宋体" w:eastAsia="宋体" w:cs="Times New Roman"/>
          <w:sz w:val="24"/>
          <w:szCs w:val="24"/>
        </w:rPr>
      </w:pPr>
      <w:r>
        <w:rPr>
          <w:rFonts w:hint="eastAsia" w:ascii="宋体" w:hAnsi="宋体" w:eastAsia="宋体" w:cs="Times New Roman"/>
          <w:sz w:val="24"/>
          <w:szCs w:val="24"/>
        </w:rPr>
        <w:t>④</w:t>
      </w:r>
      <w:r>
        <w:rPr>
          <w:rFonts w:ascii="宋体" w:hAnsi="宋体" w:eastAsia="宋体" w:cs="Times New Roman"/>
          <w:sz w:val="24"/>
          <w:szCs w:val="24"/>
        </w:rPr>
        <w:t>校行企合作，发挥各自优势，在上述基础上形成专业培养方案初稿，经专业指导委员会论证，提出修订意见，并依据修订意见，编制专业</w:t>
      </w:r>
      <w:r>
        <w:rPr>
          <w:rFonts w:hint="eastAsia" w:ascii="宋体" w:hAnsi="宋体" w:eastAsia="宋体" w:cs="Times New Roman"/>
          <w:sz w:val="24"/>
          <w:szCs w:val="24"/>
        </w:rPr>
        <w:t>人才</w:t>
      </w:r>
      <w:r>
        <w:rPr>
          <w:rFonts w:ascii="宋体" w:hAnsi="宋体" w:eastAsia="宋体" w:cs="Times New Roman"/>
          <w:sz w:val="24"/>
          <w:szCs w:val="24"/>
        </w:rPr>
        <w:t>培养方案，形成初稿。</w:t>
      </w:r>
    </w:p>
    <w:p>
      <w:pPr>
        <w:widowControl/>
        <w:adjustRightInd w:val="0"/>
        <w:snapToGrid w:val="0"/>
        <w:spacing w:before="156" w:beforeLines="50" w:line="360" w:lineRule="auto"/>
        <w:jc w:val="left"/>
        <w:rPr>
          <w:rFonts w:ascii="Times New Roman" w:hAnsi="Times New Roman" w:eastAsia="宋体" w:cs="Times New Roman"/>
          <w:b/>
          <w:bCs/>
          <w:kern w:val="0"/>
          <w:sz w:val="28"/>
          <w:szCs w:val="28"/>
        </w:rPr>
      </w:pPr>
      <w:r>
        <w:rPr>
          <w:rFonts w:ascii="Times New Roman" w:hAnsi="Times New Roman" w:eastAsia="宋体" w:cs="Times New Roman"/>
          <w:b/>
          <w:bCs/>
          <w:kern w:val="0"/>
          <w:sz w:val="28"/>
          <w:szCs w:val="28"/>
        </w:rPr>
        <w:t>（</w:t>
      </w:r>
      <w:r>
        <w:rPr>
          <w:rFonts w:hint="eastAsia" w:ascii="Times New Roman" w:hAnsi="Times New Roman" w:eastAsia="宋体" w:cs="Times New Roman"/>
          <w:b/>
          <w:bCs/>
          <w:kern w:val="0"/>
          <w:sz w:val="28"/>
          <w:szCs w:val="28"/>
        </w:rPr>
        <w:t>二</w:t>
      </w:r>
      <w:r>
        <w:rPr>
          <w:rFonts w:ascii="Times New Roman" w:hAnsi="Times New Roman" w:eastAsia="宋体" w:cs="Times New Roman"/>
          <w:b/>
          <w:bCs/>
          <w:kern w:val="0"/>
          <w:sz w:val="28"/>
          <w:szCs w:val="28"/>
        </w:rPr>
        <w:t>）</w:t>
      </w:r>
      <w:r>
        <w:rPr>
          <w:rFonts w:ascii="宋体" w:hAnsi="宋体" w:eastAsia="宋体" w:cs="Times New Roman"/>
          <w:b/>
          <w:sz w:val="28"/>
          <w:szCs w:val="28"/>
        </w:rPr>
        <w:t>人才培养</w:t>
      </w:r>
      <w:r>
        <w:rPr>
          <w:rFonts w:hint="eastAsia" w:ascii="宋体" w:hAnsi="宋体" w:eastAsia="宋体" w:cs="Times New Roman"/>
          <w:b/>
          <w:sz w:val="28"/>
          <w:szCs w:val="28"/>
        </w:rPr>
        <w:t>方案</w:t>
      </w:r>
    </w:p>
    <w:p>
      <w:pPr>
        <w:widowControl/>
        <w:adjustRightInd w:val="0"/>
        <w:snapToGrid w:val="0"/>
        <w:spacing w:line="360" w:lineRule="auto"/>
        <w:ind w:firstLine="640"/>
        <w:jc w:val="left"/>
        <w:rPr>
          <w:rFonts w:ascii="Calibri" w:hAnsi="Calibri" w:eastAsia="宋体" w:cs="Times New Roman"/>
          <w:kern w:val="0"/>
          <w:sz w:val="24"/>
          <w:szCs w:val="24"/>
        </w:rPr>
      </w:pPr>
      <w:r>
        <w:rPr>
          <w:rFonts w:hint="eastAsia" w:ascii="Calibri" w:hAnsi="Calibri" w:eastAsia="宋体" w:cs="Times New Roman"/>
          <w:kern w:val="0"/>
          <w:sz w:val="24"/>
          <w:szCs w:val="24"/>
        </w:rPr>
        <w:t>根据中药产业链的人才需求和中药生产岗位素质要求，构建以能力培养为主线、人文素养并举的人才培养方案，使培养的中药制药人才能够胜任中药饮片前处理、中药炮制与制剂、中药质量与分析、中药新药研究开发、中药合理使用与评价等方面工作。专业人才培养课程体系包含通识教育课、基础课、专业课、专业特色课、公共选修课等课内教学，军训、实习等实践教学。该体系一方面重视中医药文化基础培养，设置的通识教育课程模块中，强化医学人文、中医药学基础等课程，培养学生的传统文化底蕴和中医药思维；另一方面该体系重视现代医药技术基础培养，设置的专业基础课程模块中，强化药用基础化学课程群、生物医学类课程，提升学生生物、化学素养。该课程体系构建“以教促学、赛训一体”的实践教学体系，开放科研实验室，加大综合性、设计性实验项目比重，强化实验技能考核，加强实地实物教学法，建设省级示范教学基地和校外实践教学基地。定期举办中药识别与饮片鉴定技能大赛，开展中药学实验技能大赛，遴选优秀学生参加全国大赛，着力提高学生的实验操作技能，组织学生参加教育部药学和中药学教学指导委员会举办的学科专业知识与技能大赛。在中药制药见习、专业实习阶段，学生根据实习方向，设计实习内容，制定实习方案，完成并取得实习成果。毕业论文一人一题，选题密切结合中药制药生产实际，并撰写与论文研究领域相关的文献综述。</w:t>
      </w:r>
    </w:p>
    <w:p>
      <w:pPr>
        <w:widowControl/>
        <w:adjustRightInd w:val="0"/>
        <w:snapToGrid w:val="0"/>
        <w:spacing w:before="156" w:beforeLines="50" w:after="156" w:afterLines="50"/>
        <w:jc w:val="left"/>
        <w:rPr>
          <w:rFonts w:ascii="Calibri" w:hAnsi="Calibri" w:eastAsia="宋体" w:cs="Times New Roman"/>
          <w:kern w:val="0"/>
          <w:sz w:val="24"/>
          <w:szCs w:val="24"/>
        </w:rPr>
      </w:pPr>
      <w:r>
        <w:rPr>
          <w:rFonts w:hint="eastAsia" w:ascii="微软雅黑" w:hAnsi="微软雅黑" w:eastAsia="微软雅黑"/>
          <w:b/>
          <w:bCs/>
          <w:sz w:val="28"/>
          <w:szCs w:val="28"/>
        </w:rPr>
        <w:t>六、结束语</w:t>
      </w:r>
    </w:p>
    <w:p>
      <w:pPr>
        <w:spacing w:line="360" w:lineRule="auto"/>
        <w:ind w:firstLine="480" w:firstLineChars="200"/>
        <w:rPr>
          <w:rFonts w:ascii="宋体" w:hAnsi="宋体" w:eastAsia="宋体" w:cs="Times New Roman"/>
          <w:sz w:val="24"/>
          <w:szCs w:val="24"/>
        </w:rPr>
      </w:pPr>
      <w:r>
        <w:rPr>
          <w:rFonts w:hint="eastAsia" w:ascii="Calibri" w:hAnsi="Calibri" w:eastAsia="宋体" w:cs="Times New Roman"/>
          <w:sz w:val="24"/>
          <w:szCs w:val="24"/>
        </w:rPr>
        <w:t>中药制药</w:t>
      </w:r>
      <w:r>
        <w:rPr>
          <w:rFonts w:hint="eastAsia" w:ascii="宋体" w:hAnsi="宋体" w:eastAsia="宋体" w:cs="Times New Roman"/>
          <w:sz w:val="24"/>
          <w:szCs w:val="24"/>
        </w:rPr>
        <w:t>专业</w:t>
      </w:r>
      <w:r>
        <w:rPr>
          <w:rFonts w:ascii="宋体" w:hAnsi="宋体" w:eastAsia="宋体" w:cs="Times New Roman"/>
          <w:sz w:val="24"/>
          <w:szCs w:val="24"/>
        </w:rPr>
        <w:t>主要面向</w:t>
      </w:r>
      <w:r>
        <w:rPr>
          <w:rFonts w:hint="eastAsia" w:ascii="Calibri" w:hAnsi="Calibri" w:eastAsia="宋体" w:cs="Times New Roman"/>
          <w:sz w:val="24"/>
          <w:szCs w:val="24"/>
        </w:rPr>
        <w:t>中药及中成药</w:t>
      </w:r>
      <w:r>
        <w:rPr>
          <w:rFonts w:hint="eastAsia" w:ascii="宋体" w:hAnsi="宋体" w:eastAsia="宋体" w:cs="Times New Roman"/>
          <w:sz w:val="24"/>
          <w:szCs w:val="24"/>
        </w:rPr>
        <w:t>生产、经营管理和使用的</w:t>
      </w:r>
      <w:r>
        <w:rPr>
          <w:rFonts w:ascii="宋体" w:hAnsi="宋体" w:eastAsia="宋体" w:cs="Times New Roman"/>
          <w:sz w:val="24"/>
          <w:szCs w:val="24"/>
        </w:rPr>
        <w:t>企事业单位，培养德、智、体、美全面发展，</w:t>
      </w:r>
      <w:r>
        <w:rPr>
          <w:rFonts w:hint="eastAsia" w:ascii="宋体" w:hAnsi="宋体" w:eastAsia="宋体" w:cs="Times New Roman"/>
          <w:sz w:val="24"/>
          <w:szCs w:val="24"/>
        </w:rPr>
        <w:t>掌握专业所必需的基础理论知识与技能，</w:t>
      </w:r>
      <w:r>
        <w:rPr>
          <w:rFonts w:ascii="宋体" w:hAnsi="宋体" w:eastAsia="宋体" w:cs="Times New Roman"/>
          <w:sz w:val="24"/>
          <w:szCs w:val="24"/>
        </w:rPr>
        <w:t>在生产、服务第一线</w:t>
      </w:r>
      <w:r>
        <w:rPr>
          <w:rFonts w:hint="eastAsia" w:ascii="宋体" w:hAnsi="宋体" w:eastAsia="宋体" w:cs="Times New Roman"/>
          <w:sz w:val="24"/>
          <w:szCs w:val="24"/>
        </w:rPr>
        <w:t>既</w:t>
      </w:r>
      <w:r>
        <w:rPr>
          <w:rFonts w:ascii="宋体" w:hAnsi="宋体" w:eastAsia="宋体" w:cs="Times New Roman"/>
          <w:sz w:val="24"/>
          <w:szCs w:val="24"/>
        </w:rPr>
        <w:t>能从事</w:t>
      </w:r>
      <w:r>
        <w:rPr>
          <w:rFonts w:hint="eastAsia" w:ascii="Calibri" w:hAnsi="Calibri" w:eastAsia="宋体" w:cs="Times New Roman"/>
          <w:sz w:val="24"/>
          <w:szCs w:val="24"/>
        </w:rPr>
        <w:t>中药制药</w:t>
      </w:r>
      <w:r>
        <w:rPr>
          <w:rFonts w:hint="eastAsia" w:ascii="宋体" w:hAnsi="宋体" w:eastAsia="宋体" w:cs="Times New Roman"/>
          <w:sz w:val="24"/>
          <w:szCs w:val="24"/>
        </w:rPr>
        <w:t>生产、配方设计、</w:t>
      </w:r>
      <w:r>
        <w:rPr>
          <w:rFonts w:ascii="宋体" w:hAnsi="宋体" w:eastAsia="宋体" w:cs="Times New Roman"/>
          <w:sz w:val="24"/>
          <w:szCs w:val="24"/>
        </w:rPr>
        <w:t>检验及质量</w:t>
      </w:r>
      <w:r>
        <w:rPr>
          <w:rFonts w:hint="eastAsia" w:ascii="宋体" w:hAnsi="宋体" w:eastAsia="宋体" w:cs="Times New Roman"/>
          <w:sz w:val="24"/>
          <w:szCs w:val="24"/>
        </w:rPr>
        <w:t>管理工作，又能从事</w:t>
      </w:r>
      <w:r>
        <w:rPr>
          <w:rFonts w:hint="eastAsia" w:ascii="Calibri" w:hAnsi="Calibri" w:eastAsia="宋体" w:cs="Times New Roman"/>
          <w:sz w:val="24"/>
          <w:szCs w:val="24"/>
        </w:rPr>
        <w:t>中药制药的</w:t>
      </w:r>
      <w:r>
        <w:rPr>
          <w:rFonts w:hint="eastAsia" w:ascii="宋体" w:hAnsi="宋体" w:eastAsia="宋体" w:cs="Times New Roman"/>
          <w:sz w:val="24"/>
          <w:szCs w:val="24"/>
        </w:rPr>
        <w:t>营销与服务，综合应用等岗位工作</w:t>
      </w:r>
      <w:r>
        <w:rPr>
          <w:rFonts w:ascii="宋体" w:hAnsi="宋体" w:eastAsia="宋体" w:cs="Times New Roman"/>
          <w:sz w:val="24"/>
          <w:szCs w:val="24"/>
        </w:rPr>
        <w:t>，具有职业生涯发展基础的应用</w:t>
      </w:r>
      <w:r>
        <w:rPr>
          <w:rFonts w:hint="eastAsia" w:ascii="宋体" w:hAnsi="宋体" w:eastAsia="宋体" w:cs="Times New Roman"/>
          <w:sz w:val="24"/>
          <w:szCs w:val="24"/>
        </w:rPr>
        <w:t>型</w:t>
      </w:r>
      <w:r>
        <w:rPr>
          <w:rFonts w:ascii="宋体" w:hAnsi="宋体" w:eastAsia="宋体" w:cs="Times New Roman"/>
          <w:sz w:val="24"/>
          <w:szCs w:val="24"/>
        </w:rPr>
        <w:t>高技能专门人才。可从事的工作岗位主要包括</w:t>
      </w:r>
      <w:r>
        <w:rPr>
          <w:rFonts w:hint="eastAsia" w:ascii="宋体" w:hAnsi="宋体" w:eastAsia="宋体" w:cs="Times New Roman"/>
          <w:sz w:val="24"/>
          <w:szCs w:val="24"/>
        </w:rPr>
        <w:t>在中药生产企业从事中药生产工艺操作、生产技术改造、原料及产品质量控制、生产技术管理及中药营销、中药制剂生产相关岗位、中药制剂质量控制、中药生产技术管理、验证等工作。</w:t>
      </w:r>
    </w:p>
    <w:p>
      <w:pPr>
        <w:widowControl/>
        <w:spacing w:line="360" w:lineRule="auto"/>
        <w:ind w:firstLine="480" w:firstLineChars="200"/>
        <w:jc w:val="left"/>
        <w:rPr>
          <w:rFonts w:ascii="宋体" w:hAnsi="宋体" w:eastAsia="宋体" w:cs="Times New Roman"/>
          <w:sz w:val="24"/>
          <w:szCs w:val="24"/>
        </w:rPr>
      </w:pPr>
      <w:r>
        <w:rPr>
          <w:rFonts w:ascii="宋体" w:hAnsi="宋体" w:eastAsia="宋体" w:cs="Times New Roman"/>
          <w:sz w:val="24"/>
          <w:szCs w:val="24"/>
        </w:rPr>
        <w:t>根据</w:t>
      </w:r>
      <w:r>
        <w:rPr>
          <w:rFonts w:hint="eastAsia" w:ascii="宋体" w:hAnsi="宋体" w:eastAsia="宋体" w:cs="Times New Roman"/>
          <w:sz w:val="24"/>
          <w:szCs w:val="24"/>
        </w:rPr>
        <w:t>企业单位</w:t>
      </w:r>
      <w:r>
        <w:rPr>
          <w:rFonts w:ascii="宋体" w:hAnsi="宋体" w:eastAsia="宋体" w:cs="Times New Roman"/>
          <w:sz w:val="24"/>
          <w:szCs w:val="24"/>
        </w:rPr>
        <w:t>对本专业的人才需求，以服务为宗旨，以就业为导向，以提高学生素质为核心，以培养学生职业能力为本位，积极推进工学结合，</w:t>
      </w:r>
      <w:r>
        <w:rPr>
          <w:rFonts w:hint="eastAsia" w:ascii="宋体" w:hAnsi="宋体" w:eastAsia="宋体" w:cs="Times New Roman"/>
          <w:sz w:val="24"/>
          <w:szCs w:val="24"/>
        </w:rPr>
        <w:t>通过校企合作联合办学科学仪器技术产业学院以企业为主学校为辅</w:t>
      </w:r>
      <w:r>
        <w:rPr>
          <w:rFonts w:ascii="宋体" w:hAnsi="宋体" w:eastAsia="宋体" w:cs="Times New Roman"/>
          <w:sz w:val="24"/>
          <w:szCs w:val="24"/>
        </w:rPr>
        <w:t>，注重理论与实践的结合，将</w:t>
      </w:r>
      <w:r>
        <w:rPr>
          <w:rFonts w:hint="eastAsia" w:ascii="宋体" w:hAnsi="宋体" w:eastAsia="宋体" w:cs="Times New Roman"/>
          <w:sz w:val="24"/>
          <w:szCs w:val="24"/>
        </w:rPr>
        <w:t>中药制药</w:t>
      </w:r>
      <w:r>
        <w:rPr>
          <w:rFonts w:ascii="宋体" w:hAnsi="宋体" w:eastAsia="宋体" w:cs="Times New Roman"/>
          <w:sz w:val="24"/>
          <w:szCs w:val="24"/>
        </w:rPr>
        <w:t>行业职业资格标准融入课程标准，突出“职业性”与“高等性”的融合，促进学生的全面发展与个性发展，实现</w:t>
      </w:r>
      <w:r>
        <w:rPr>
          <w:rFonts w:hint="eastAsia" w:ascii="宋体" w:hAnsi="宋体" w:eastAsia="宋体" w:cs="Times New Roman"/>
          <w:sz w:val="24"/>
          <w:szCs w:val="24"/>
        </w:rPr>
        <w:t>中药制药</w:t>
      </w:r>
      <w:r>
        <w:rPr>
          <w:rFonts w:ascii="宋体" w:hAnsi="宋体" w:eastAsia="宋体" w:cs="Times New Roman"/>
          <w:sz w:val="24"/>
          <w:szCs w:val="24"/>
        </w:rPr>
        <w:t>专业高技能人才培养目标，服务于国家经济、区域经济，服务于社会发展、个人发展。</w:t>
      </w:r>
    </w:p>
    <w:sectPr>
      <w:pgSz w:w="11906" w:h="16838"/>
      <w:pgMar w:top="1361" w:right="1361" w:bottom="1247"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6E9"/>
    <w:rsid w:val="000037B6"/>
    <w:rsid w:val="000147E3"/>
    <w:rsid w:val="00080D55"/>
    <w:rsid w:val="000C7BFF"/>
    <w:rsid w:val="00102327"/>
    <w:rsid w:val="00134106"/>
    <w:rsid w:val="001354A6"/>
    <w:rsid w:val="00191101"/>
    <w:rsid w:val="001930A3"/>
    <w:rsid w:val="001D32BD"/>
    <w:rsid w:val="002010D8"/>
    <w:rsid w:val="002454CB"/>
    <w:rsid w:val="00256173"/>
    <w:rsid w:val="00263916"/>
    <w:rsid w:val="002935D3"/>
    <w:rsid w:val="002B61C3"/>
    <w:rsid w:val="002C699F"/>
    <w:rsid w:val="002E678A"/>
    <w:rsid w:val="00353312"/>
    <w:rsid w:val="003972DF"/>
    <w:rsid w:val="00415CC1"/>
    <w:rsid w:val="004415B1"/>
    <w:rsid w:val="00446C13"/>
    <w:rsid w:val="00452BC3"/>
    <w:rsid w:val="00454089"/>
    <w:rsid w:val="00457946"/>
    <w:rsid w:val="00483097"/>
    <w:rsid w:val="004A4191"/>
    <w:rsid w:val="004D0E15"/>
    <w:rsid w:val="004D110B"/>
    <w:rsid w:val="004E4A31"/>
    <w:rsid w:val="00507B28"/>
    <w:rsid w:val="005A3F88"/>
    <w:rsid w:val="00604498"/>
    <w:rsid w:val="006A7481"/>
    <w:rsid w:val="006B434A"/>
    <w:rsid w:val="006B6CFB"/>
    <w:rsid w:val="006C5DCC"/>
    <w:rsid w:val="006D4340"/>
    <w:rsid w:val="00750BA9"/>
    <w:rsid w:val="00782C07"/>
    <w:rsid w:val="007D01D9"/>
    <w:rsid w:val="008214C8"/>
    <w:rsid w:val="0084466C"/>
    <w:rsid w:val="00895DE1"/>
    <w:rsid w:val="008C76BE"/>
    <w:rsid w:val="00951766"/>
    <w:rsid w:val="00973D54"/>
    <w:rsid w:val="009745DF"/>
    <w:rsid w:val="009E4CE0"/>
    <w:rsid w:val="00A10B41"/>
    <w:rsid w:val="00A210E4"/>
    <w:rsid w:val="00A21FA2"/>
    <w:rsid w:val="00AA172B"/>
    <w:rsid w:val="00AF0C32"/>
    <w:rsid w:val="00B62EC9"/>
    <w:rsid w:val="00BA22FF"/>
    <w:rsid w:val="00BD48C3"/>
    <w:rsid w:val="00BE2AEF"/>
    <w:rsid w:val="00BF5CDB"/>
    <w:rsid w:val="00BF66E9"/>
    <w:rsid w:val="00C1075C"/>
    <w:rsid w:val="00CA28D5"/>
    <w:rsid w:val="00D0367C"/>
    <w:rsid w:val="00D07B8F"/>
    <w:rsid w:val="00D22BD7"/>
    <w:rsid w:val="00D25A91"/>
    <w:rsid w:val="00D46D4F"/>
    <w:rsid w:val="00E06F82"/>
    <w:rsid w:val="00E122C2"/>
    <w:rsid w:val="00E32EB2"/>
    <w:rsid w:val="00E64120"/>
    <w:rsid w:val="00E649D2"/>
    <w:rsid w:val="00E70CA6"/>
    <w:rsid w:val="00EC0674"/>
    <w:rsid w:val="00F0014D"/>
    <w:rsid w:val="00F635E8"/>
    <w:rsid w:val="00FB5699"/>
    <w:rsid w:val="00FB7B4E"/>
    <w:rsid w:val="00FD16F4"/>
    <w:rsid w:val="44C964EA"/>
    <w:rsid w:val="5AA64D68"/>
    <w:rsid w:val="610C172E"/>
    <w:rsid w:val="7BBF6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8"/>
    <w:qFormat/>
    <w:uiPriority w:val="0"/>
    <w:rPr>
      <w:rFonts w:ascii="宋体" w:hAnsi="Courier New" w:eastAsia="宋体" w:cs="Courier New"/>
      <w:bCs/>
      <w:szCs w:val="21"/>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纯文本 字符1"/>
    <w:link w:val="3"/>
    <w:qFormat/>
    <w:uiPriority w:val="0"/>
    <w:rPr>
      <w:rFonts w:ascii="宋体" w:hAnsi="Courier New" w:eastAsia="宋体" w:cs="Courier New"/>
      <w:bCs/>
      <w:szCs w:val="21"/>
    </w:rPr>
  </w:style>
  <w:style w:type="character" w:customStyle="1" w:styleId="9">
    <w:name w:val="纯文本 字符"/>
    <w:basedOn w:val="7"/>
    <w:semiHidden/>
    <w:qFormat/>
    <w:uiPriority w:val="99"/>
    <w:rPr>
      <w:rFonts w:hAnsi="Courier New" w:cs="Courier New" w:asciiTheme="minorEastAsia"/>
    </w:rPr>
  </w:style>
  <w:style w:type="character" w:customStyle="1" w:styleId="10">
    <w:name w:val="页眉 字符"/>
    <w:basedOn w:val="7"/>
    <w:link w:val="5"/>
    <w:qFormat/>
    <w:uiPriority w:val="99"/>
    <w:rPr>
      <w:sz w:val="18"/>
      <w:szCs w:val="18"/>
    </w:rPr>
  </w:style>
  <w:style w:type="character" w:customStyle="1" w:styleId="11">
    <w:name w:val="页脚 字符"/>
    <w:basedOn w:val="7"/>
    <w:link w:val="4"/>
    <w:qFormat/>
    <w:uiPriority w:val="99"/>
    <w:rPr>
      <w:sz w:val="18"/>
      <w:szCs w:val="18"/>
    </w:rPr>
  </w:style>
  <w:style w:type="character" w:customStyle="1" w:styleId="12">
    <w:name w:val="标题 1 字符"/>
    <w:basedOn w:val="7"/>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1422</Words>
  <Characters>8109</Characters>
  <Lines>67</Lines>
  <Paragraphs>19</Paragraphs>
  <TotalTime>78</TotalTime>
  <ScaleCrop>false</ScaleCrop>
  <LinksUpToDate>false</LinksUpToDate>
  <CharactersWithSpaces>9512</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2021-06-15T08:19:00Z</dcterms:created>
  <dc:creator>lenovo</dc:creator>
  <cp:lastModifiedBy>春晓</cp:lastModifiedBy>
  <cp:lastPrinted>2020-07-23T22:54:00Z</cp:lastPrinted>
  <dcterms:modified xsi:type="dcterms:W3CDTF">2021-07-27T06:10:02Z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A6355CE511EC41EB987983EB600C7C74</vt:lpwstr>
  </property>
</Properties>
</file>