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jc w:val="center"/>
        <w:rPr>
          <w:rFonts w:ascii="Times New Roman" w:hAnsi="Times New Roman" w:cs="Times New Roman"/>
          <w:sz w:val="36"/>
          <w:szCs w:val="36"/>
        </w:rPr>
      </w:pPr>
      <w:r>
        <w:rPr>
          <w:rFonts w:ascii="Times New Roman" w:hAnsi="Times New Roman" w:cs="Times New Roman"/>
          <w:sz w:val="36"/>
          <w:szCs w:val="36"/>
        </w:rPr>
        <w:t>《中药制药专业》人才需求论证报告</w:t>
      </w:r>
    </w:p>
    <w:p>
      <w:pPr>
        <w:numPr>
          <w:ilvl w:val="0"/>
          <w:numId w:val="1"/>
        </w:num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中药制药专业的前景</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如今，中医药发展已经上升为国家战略，在经济社会发展全局中具有重要的战略位置。</w:t>
      </w:r>
      <w:r>
        <w:rPr>
          <w:rFonts w:ascii="Times New Roman" w:hAnsi="Times New Roman" w:eastAsia="宋体" w:cs="Times New Roman"/>
          <w:b/>
          <w:bCs/>
          <w:sz w:val="24"/>
          <w:szCs w:val="24"/>
          <w:u w:val="single"/>
        </w:rPr>
        <w:t>习近平总书记指出，要遵循中医药发展规律，传承精华，守正创新，加快推进中医药现代化、产业化，推动中医药事业和产业高质量发展，推动中医药走向世界，充分发挥中医药防病治病的独特优势和作用。</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2016年，国务院印发《中医药发展战略纲要（2016-2030年）》，</w:t>
      </w:r>
      <w:r>
        <w:rPr>
          <w:rFonts w:ascii="Times New Roman" w:hAnsi="Times New Roman" w:eastAsia="宋体" w:cs="Times New Roman"/>
          <w:b/>
          <w:bCs/>
          <w:sz w:val="24"/>
          <w:szCs w:val="24"/>
        </w:rPr>
        <w:t>将中医药发展上升为国家战略</w:t>
      </w:r>
      <w:r>
        <w:rPr>
          <w:rFonts w:hint="eastAsia" w:ascii="Times New Roman" w:hAnsi="Times New Roman" w:eastAsia="宋体" w:cs="Times New Roman"/>
          <w:sz w:val="24"/>
          <w:szCs w:val="24"/>
        </w:rPr>
        <w:t>。</w:t>
      </w:r>
      <w:r>
        <w:rPr>
          <w:rFonts w:ascii="Times New Roman" w:hAnsi="Times New Roman" w:eastAsia="宋体" w:cs="Times New Roman"/>
          <w:sz w:val="24"/>
          <w:szCs w:val="24"/>
        </w:rPr>
        <w:t>纲要指出，</w:t>
      </w:r>
      <w:r>
        <w:rPr>
          <w:rFonts w:hint="eastAsia" w:ascii="Times New Roman" w:hAnsi="Times New Roman" w:eastAsia="宋体" w:cs="Times New Roman"/>
          <w:sz w:val="24"/>
          <w:szCs w:val="24"/>
        </w:rPr>
        <w:t>要</w:t>
      </w:r>
      <w:r>
        <w:rPr>
          <w:rFonts w:ascii="Times New Roman" w:hAnsi="Times New Roman" w:eastAsia="宋体" w:cs="Times New Roman"/>
          <w:sz w:val="24"/>
          <w:szCs w:val="24"/>
        </w:rPr>
        <w:t>加强中医药各类专业技能人才培养，加强一批中医药重点学科建设。重点强化中药炮制、中药鉴定、中药制剂、中药配方颗粒以及道地药材的标准制定与质量管理，加强对传统制药、鉴定、炮制技术及老药工经验的继承应用。促进中药工业转型升级</w:t>
      </w:r>
      <w:r>
        <w:rPr>
          <w:rFonts w:hint="eastAsia" w:ascii="Times New Roman" w:hAnsi="Times New Roman" w:eastAsia="宋体" w:cs="Times New Roman"/>
          <w:sz w:val="24"/>
          <w:szCs w:val="24"/>
        </w:rPr>
        <w:t>，</w:t>
      </w:r>
      <w:r>
        <w:rPr>
          <w:rFonts w:ascii="Times New Roman" w:hAnsi="Times New Roman" w:eastAsia="宋体" w:cs="Times New Roman"/>
          <w:sz w:val="24"/>
          <w:szCs w:val="24"/>
        </w:rPr>
        <w:t>推进中药工业数字化、网络化、智能化建设，加强技术集成和工艺创新</w:t>
      </w:r>
      <w:r>
        <w:rPr>
          <w:rFonts w:hint="eastAsia" w:ascii="Times New Roman" w:hAnsi="Times New Roman" w:eastAsia="宋体" w:cs="Times New Roman"/>
          <w:sz w:val="24"/>
          <w:szCs w:val="24"/>
        </w:rPr>
        <w:t>。</w:t>
      </w:r>
      <w:r>
        <w:rPr>
          <w:rFonts w:ascii="Times New Roman" w:hAnsi="Times New Roman" w:eastAsia="宋体" w:cs="Times New Roman"/>
          <w:sz w:val="24"/>
          <w:szCs w:val="24"/>
        </w:rPr>
        <w:t>提升中药装备制造水平，加速中药生产工艺、流程的标准化、现代化，提升中药工业知识产权运用能力，提高中药制造业技术水平与规模效益逐步形成大型中药企业集团和产业集群，构建中药产业全链条的优质产品标准体系。</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十三五时期，中医药发展处在能力提升推进期、健康服务拓展期、参与医改攻坚期和政策机制完善期。</w:t>
      </w:r>
      <w:r>
        <w:rPr>
          <w:rFonts w:hint="eastAsia" w:ascii="Times New Roman" w:hAnsi="Times New Roman" w:eastAsia="宋体" w:cs="Times New Roman"/>
          <w:b/>
          <w:bCs/>
          <w:sz w:val="24"/>
          <w:szCs w:val="24"/>
        </w:rPr>
        <w:t>广东省委省政府高度重视中医药建设发展，在全国率先提出建设中医药强省</w:t>
      </w:r>
      <w:r>
        <w:rPr>
          <w:rFonts w:hint="eastAsia" w:ascii="Times New Roman" w:hAnsi="Times New Roman" w:eastAsia="宋体" w:cs="Times New Roman"/>
          <w:sz w:val="24"/>
          <w:szCs w:val="24"/>
        </w:rPr>
        <w:t>，并出台《关于建设中医药强省的决定》，印发了《广东省推进中医药强省建设行动纲要（</w:t>
      </w:r>
      <w:r>
        <w:rPr>
          <w:rFonts w:ascii="Times New Roman" w:hAnsi="Times New Roman" w:eastAsia="宋体" w:cs="Times New Roman"/>
          <w:sz w:val="24"/>
          <w:szCs w:val="24"/>
        </w:rPr>
        <w:t>2014-2018年）》、《广东省中医药健康服务发展规划（2016—2020年）》、《中共广东省委广东省人民政府关于深化医药卫生体制改革，建设卫生强省的决定》，全面推动广东省中医药医疗、预防保健、科研、教育、产业、文化、对外交流“七位一体”的振兴发展</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2019年中共中央、国务院印发《粤港澳大湾区发展规划纲要》，从国家战略发展全局出发，</w:t>
      </w:r>
      <w:r>
        <w:rPr>
          <w:rFonts w:ascii="Times New Roman" w:hAnsi="Times New Roman" w:eastAsia="宋体" w:cs="Times New Roman"/>
          <w:b/>
          <w:bCs/>
          <w:sz w:val="24"/>
          <w:szCs w:val="24"/>
        </w:rPr>
        <w:t>全面推进粤港澳大湾区建设</w:t>
      </w:r>
      <w:r>
        <w:rPr>
          <w:rFonts w:ascii="Times New Roman" w:hAnsi="Times New Roman" w:eastAsia="宋体" w:cs="Times New Roman"/>
          <w:sz w:val="24"/>
          <w:szCs w:val="24"/>
        </w:rPr>
        <w:t>，并将</w:t>
      </w:r>
      <w:r>
        <w:rPr>
          <w:rFonts w:ascii="Times New Roman" w:hAnsi="Times New Roman" w:eastAsia="宋体" w:cs="Times New Roman"/>
          <w:b/>
          <w:bCs/>
          <w:sz w:val="24"/>
          <w:szCs w:val="24"/>
        </w:rPr>
        <w:t>中医药产业</w:t>
      </w:r>
      <w:r>
        <w:rPr>
          <w:rFonts w:ascii="Times New Roman" w:hAnsi="Times New Roman" w:eastAsia="宋体" w:cs="Times New Roman"/>
          <w:sz w:val="24"/>
          <w:szCs w:val="24"/>
        </w:rPr>
        <w:t>作为大湾区产业布局的一项重要内容。广州作为大湾区的重心和腹地，需要大量中医药人才。</w:t>
      </w:r>
    </w:p>
    <w:p>
      <w:pPr>
        <w:spacing w:line="360" w:lineRule="auto"/>
        <w:ind w:firstLine="482" w:firstLineChars="200"/>
        <w:rPr>
          <w:rFonts w:ascii="Times New Roman" w:hAnsi="Times New Roman" w:eastAsia="宋体" w:cs="Times New Roman"/>
          <w:sz w:val="24"/>
          <w:szCs w:val="24"/>
          <w:u w:val="single"/>
        </w:rPr>
      </w:pPr>
      <w:r>
        <w:rPr>
          <w:rFonts w:hint="eastAsia" w:ascii="Times New Roman" w:hAnsi="Times New Roman" w:eastAsia="宋体" w:cs="Times New Roman"/>
          <w:b/>
          <w:bCs/>
          <w:sz w:val="24"/>
          <w:szCs w:val="24"/>
          <w:u w:val="single"/>
        </w:rPr>
        <w:t>在大力发展中医药的背景下，</w:t>
      </w:r>
      <w:r>
        <w:rPr>
          <w:rFonts w:ascii="Times New Roman" w:hAnsi="Times New Roman" w:eastAsia="宋体" w:cs="Times New Roman"/>
          <w:b/>
          <w:bCs/>
          <w:sz w:val="24"/>
          <w:szCs w:val="24"/>
          <w:u w:val="single"/>
        </w:rPr>
        <w:t>我国各大医药企业的发展迎来了全新的机遇及广阔的成长空间，各大制药企业对中药制药专业复合型人才的需求快速增长</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药制药专业作为中医药行业内的一个现代化发展，是一个中药学与工程学等多学科交叉的专业，所学习及掌握的知识与企业中药的研发、生产、销售管理直接相关。中药制药专业与中药产业发展密切相关，更应该紧跟战略步伐，适应企业需要，培养更符合国家利益，服务地方发展的高技能、创新型、复合型人才。</w:t>
      </w:r>
      <w:r>
        <w:rPr>
          <w:rFonts w:ascii="Times New Roman" w:hAnsi="Times New Roman" w:eastAsia="宋体" w:cs="Times New Roman"/>
          <w:sz w:val="24"/>
          <w:szCs w:val="24"/>
        </w:rPr>
        <w:t>但目前中药制药技能型人才的培养存在不足。现在许多高校毕业生往往无法达到用人单位的岗位要求，需要企业在他们上岗前对他们进行二次培训，大大增加了企业的人力资源成本</w:t>
      </w:r>
      <w:r>
        <w:rPr>
          <w:rFonts w:hint="eastAsia" w:ascii="Times New Roman" w:hAnsi="Times New Roman" w:eastAsia="宋体" w:cs="Times New Roman"/>
          <w:sz w:val="24"/>
          <w:szCs w:val="24"/>
        </w:rPr>
        <w:t>。</w:t>
      </w:r>
      <w:r>
        <w:rPr>
          <w:rFonts w:ascii="Times New Roman" w:hAnsi="Times New Roman" w:eastAsia="宋体" w:cs="Times New Roman"/>
          <w:sz w:val="24"/>
          <w:szCs w:val="24"/>
        </w:rPr>
        <w:t>同时由于现在人才的流动性增大，许多企业在付出了沉重的培训成本之后往往无法获得应有的收益。这导致现在许多用人单位在岗位招聘时往往都会明确要求应聘者具有一定时间的工作经验，而高校毕业生往往由于没有工作经验而很难找到合适的岗位，这也是现在高校毕业生就业难的主要原因之一。学生在传统教学模式中却无法将课堂教学与实际操作相结合，不仅难以激发学生的学习积极性，也很难实现培养学生创新意识和实践综合能力的教学目的，难以满足市场对人才的需求。</w:t>
      </w:r>
      <w:r>
        <w:rPr>
          <w:rFonts w:ascii="Times New Roman" w:hAnsi="Times New Roman" w:eastAsia="宋体" w:cs="Times New Roman"/>
          <w:sz w:val="24"/>
          <w:szCs w:val="24"/>
          <w:u w:val="single"/>
        </w:rPr>
        <w:t>中医药事业正走向国际化，培养新形势下的综合性、复合型人才非常急迫，只有不断完善并改进实践教学模式，满足新时代下对中药制药专业人才的需求，进而推动我国中药制药产业的进一步发展。</w:t>
      </w:r>
    </w:p>
    <w:p>
      <w:pPr>
        <w:numPr>
          <w:ilvl w:val="0"/>
          <w:numId w:val="1"/>
        </w:num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我国中药制药专业的就业分析</w:t>
      </w:r>
    </w:p>
    <w:p>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t>在21世纪，中药产业将成为国民经济新的增长点，一大批中成药制药企业发展壮大起来，因而中药学专业就业选择更有余地，除了在各级医院担任中医师工作，在有关学校及中医临床科研机构从事教学、科研工作外，还可以在中药制药企业从事科研、制剂、产品开发和销售工作。总体来看，药科类毕业生供小于求，各医药公司、制药厂是吸收这类毕业生的大户，制药业对人才的需求是稳中有升。据中国药科大学、沈阳药科大学、四川大学华西药学院、北京大学医学部药学院就业情况，近几年这几所学校的毕业生就业率接近100%，总体供需比达到1：3~1：4。</w:t>
      </w:r>
    </w:p>
    <w:p>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t>中药制药技术专业就业方向：中药生产企业从事中药生产工艺操作、生产技术改造、原料及产品质量控制、生产技术管理及中药营销、中药制剂生产相关岗位、中药制剂质量控制、中药生产技术管理、验证等工作。</w:t>
      </w:r>
    </w:p>
    <w:p>
      <w:pPr>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t>中药制药专业就业面向为各级各类制药集团、药厂、饮片加工厂、医院制剂室等。中药制药专业毕业生主要去向为：现代医药生产企业；医院药剂科；中药制药、中药饮片的生产企业；药品经营企业以及与中药相关行业的应用开发部门，从事中药生产、中药管理、中药研发等工作，薪资待遇等方面都是很优渥的。中药制药技术专业就业前景：中药制药技术这个专业的就业以后会越来越好，因为我国对中医药都是有扶持的，对中医药还是有一定倾斜，所以学生在校期间应该具备相当的专业知识和能力，这样毕业找工作的时候有较大优势。</w:t>
      </w:r>
      <w:r>
        <w:rPr>
          <w:rFonts w:ascii="Times New Roman" w:hAnsi="Times New Roman" w:eastAsia="宋体" w:cs="Times New Roman"/>
          <w:b/>
          <w:sz w:val="24"/>
          <w:szCs w:val="24"/>
        </w:rPr>
        <w:t xml:space="preserve"> </w:t>
      </w:r>
    </w:p>
    <w:p>
      <w:pPr>
        <w:numPr>
          <w:ilvl w:val="0"/>
          <w:numId w:val="1"/>
        </w:num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调研概况</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bCs/>
          <w:sz w:val="24"/>
          <w:szCs w:val="24"/>
        </w:rPr>
        <w:t>（一）</w:t>
      </w:r>
      <w:r>
        <w:rPr>
          <w:rFonts w:ascii="Times New Roman" w:hAnsi="Times New Roman" w:eastAsia="宋体" w:cs="Times New Roman"/>
          <w:b/>
          <w:sz w:val="24"/>
          <w:szCs w:val="24"/>
        </w:rPr>
        <w:t xml:space="preserve">调研目的 </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为了从根本上解决现在高校毕业生就业难的问题，就需要高校与企业之间建立起一种长期和稳固的校企合作办学模式，及时了解企业的运营机制和岗位需求和变化，将企业的人才需求作为高校人才培养的目标，以就业为导向不断完善高校的人才培养方案，培养出具有符合社会需要的经世致用的人才。专业人才需求调研是明确专业定位、制定合理的专业人才培养方案的重要依据，对专业建设和发展有着重要意义，通过广泛的社会需求调研，了解市场上在检验检疫标准化管理与执行方面有极大的专业人才的供求关系，了解中药制药专业的主要岗位需求，从而确定专业人才的职业取向以及对专业人才的能力要求和素质要求，按照学校教理论以及职业道德相关知识企业提供实际操作以及标准化执行的要求对学生进行专业性，目的性定向培养，这种培养模式就是学生入校时就将自己未来房展与方向明确，由高校和企业联合对学生进行培养的人才培养模式。这种模式的优点在于学生的整个培养过程都与企业岗位要求紧密结合，学生在毕业时完全达到企业要求，能够立即参与到实际工作当中，而不需要再次进行岗位培训，极大减少了企业的人力资源成本。</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现在我国许多用人单位在岗位招聘时往往都会明确要求应聘者具有一定时间的工作经验，高校毕业生在这方面存在着明显的劣势，而且这是在短时间内无法改变的现状。只有通过建立校企合作，让学生能够在毕业前就到企业中参与实际的工作，获取一定的工作经验，才能有效地弥补他们缺少工作经验的缺陷，提高应聘时的竞争力。</w:t>
      </w:r>
    </w:p>
    <w:p>
      <w:pPr>
        <w:widowControl/>
        <w:spacing w:line="360" w:lineRule="auto"/>
        <w:ind w:firstLine="482" w:firstLineChars="200"/>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（二）调研方法</w:t>
      </w:r>
    </w:p>
    <w:p>
      <w:pPr>
        <w:widowControl/>
        <w:shd w:val="clear" w:color="auto" w:fill="FFFFFF"/>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t>1.实地调研</w:t>
      </w:r>
    </w:p>
    <w:p>
      <w:pPr>
        <w:widowControl/>
        <w:shd w:val="clear" w:color="auto" w:fill="FFFFFF"/>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t>2.问卷调研</w:t>
      </w:r>
    </w:p>
    <w:p>
      <w:pPr>
        <w:widowControl/>
        <w:shd w:val="clear" w:color="auto" w:fill="FFFFFF"/>
        <w:spacing w:line="360" w:lineRule="auto"/>
        <w:ind w:firstLine="420"/>
        <w:rPr>
          <w:rFonts w:ascii="Times New Roman" w:hAnsi="Times New Roman" w:eastAsia="宋体" w:cs="Times New Roman"/>
          <w:sz w:val="24"/>
          <w:szCs w:val="24"/>
        </w:rPr>
      </w:pPr>
      <w:r>
        <w:rPr>
          <w:rFonts w:ascii="Times New Roman" w:hAnsi="Times New Roman" w:eastAsia="宋体" w:cs="Times New Roman"/>
          <w:sz w:val="24"/>
          <w:szCs w:val="24"/>
        </w:rPr>
        <w:t xml:space="preserve">3.会议调研 </w:t>
      </w:r>
    </w:p>
    <w:p>
      <w:pPr>
        <w:widowControl/>
        <w:spacing w:line="360" w:lineRule="auto"/>
        <w:ind w:firstLine="482" w:firstLineChars="200"/>
        <w:jc w:val="left"/>
        <w:rPr>
          <w:rFonts w:ascii="Times New Roman" w:hAnsi="Times New Roman" w:eastAsia="宋体" w:cs="Times New Roman"/>
          <w:b/>
          <w:bCs/>
          <w:sz w:val="24"/>
          <w:szCs w:val="24"/>
        </w:rPr>
      </w:pPr>
      <w:r>
        <w:rPr>
          <w:rFonts w:ascii="Times New Roman" w:hAnsi="Times New Roman" w:eastAsia="宋体" w:cs="Times New Roman"/>
          <w:b/>
          <w:bCs/>
          <w:sz w:val="24"/>
          <w:szCs w:val="24"/>
        </w:rPr>
        <w:t>（三）调研内容</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1、“中药制药”专业社会需求的实际情况；</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2、行业调研</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向行业管理部门及技术专家咨询，掌握行业技术与作业手段发展的趋势，作为确定专业人才能力结构的依据之一，分析专业人才的供求关系及重点需求方向。</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3、企业调研</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通过发放调查问卷，从以下几方面进行调研和分析：</w:t>
      </w:r>
    </w:p>
    <w:p>
      <w:pPr>
        <w:widowControl/>
        <w:numPr>
          <w:ilvl w:val="0"/>
          <w:numId w:val="2"/>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企业对本专业相关岗位设置；</w:t>
      </w:r>
    </w:p>
    <w:p>
      <w:pPr>
        <w:widowControl/>
        <w:numPr>
          <w:ilvl w:val="0"/>
          <w:numId w:val="2"/>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企业对本专业人才需求目前的状况及未来发展的趋势；</w:t>
      </w:r>
    </w:p>
    <w:p>
      <w:pPr>
        <w:widowControl/>
        <w:numPr>
          <w:ilvl w:val="0"/>
          <w:numId w:val="2"/>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企业对毕业生基本能力和素质的要求；</w:t>
      </w:r>
    </w:p>
    <w:p>
      <w:pPr>
        <w:widowControl/>
        <w:numPr>
          <w:ilvl w:val="0"/>
          <w:numId w:val="2"/>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一线工作人员对毕业生具体的专业技能要求，基本职业素质要求；</w:t>
      </w:r>
    </w:p>
    <w:p>
      <w:pPr>
        <w:widowControl/>
        <w:numPr>
          <w:ilvl w:val="0"/>
          <w:numId w:val="2"/>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企业对职业资格的要求；</w:t>
      </w:r>
    </w:p>
    <w:p>
      <w:pPr>
        <w:widowControl/>
        <w:numPr>
          <w:ilvl w:val="0"/>
          <w:numId w:val="2"/>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企业的用人计划和方式；</w:t>
      </w:r>
    </w:p>
    <w:p>
      <w:pPr>
        <w:widowControl/>
        <w:numPr>
          <w:ilvl w:val="0"/>
          <w:numId w:val="2"/>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对本专业毕业生的评价。</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4、对从业人员及相关专业毕业生的调查</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通过调查问卷、网络等方式对相关岗位的从业人员及毕业生进行调研，主要内容包括：</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所在岗位及职责；</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主要工作任务；</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未来的职业发展规划；</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创业情况；</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岗位晋级情况；</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工作中能力与素质方面的优势与不足；</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对学习期间教学条件与教学资源的评价；</w:t>
      </w:r>
    </w:p>
    <w:p>
      <w:pPr>
        <w:widowControl/>
        <w:numPr>
          <w:ilvl w:val="0"/>
          <w:numId w:val="3"/>
        </w:num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毕业院校及就业途径。</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在取得第一手调研材料后，进行认真的归纳、统计与分析整理，并召开了有企业代表参加的专题研讨会，对调研材料进行共同分析，然后向相关企业反馈调研资料、征求企业意见，形成对城市建设与经济发展对本专业人才需求状况的总结性材料，预测用人单位对该专业的岗位需求，指导专业定位和专业人才培养目标的制定。</w:t>
      </w:r>
    </w:p>
    <w:tbl>
      <w:tblPr>
        <w:tblStyle w:val="4"/>
        <w:tblW w:w="1004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274"/>
        <w:gridCol w:w="2865"/>
        <w:gridCol w:w="3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231" w:type="dxa"/>
            <w:gridSpan w:val="2"/>
            <w:vAlign w:val="center"/>
          </w:tcPr>
          <w:p>
            <w:pPr>
              <w:spacing w:line="240" w:lineRule="exact"/>
              <w:jc w:val="center"/>
              <w:rPr>
                <w:rFonts w:ascii="宋体" w:hAnsi="宋体" w:eastAsia="宋体" w:cs="Times New Roman"/>
                <w:b/>
                <w:sz w:val="36"/>
                <w:szCs w:val="36"/>
              </w:rPr>
            </w:pPr>
            <w:r>
              <w:rPr>
                <w:rFonts w:ascii="宋体" w:hAnsi="宋体" w:eastAsia="宋体" w:cs="Times New Roman"/>
                <w:sz w:val="24"/>
              </w:rPr>
              <w:t>主要就业领域</w:t>
            </w:r>
          </w:p>
        </w:tc>
        <w:tc>
          <w:tcPr>
            <w:tcW w:w="6816" w:type="dxa"/>
            <w:gridSpan w:val="2"/>
            <w:vAlign w:val="center"/>
          </w:tcPr>
          <w:p>
            <w:pPr>
              <w:spacing w:line="480" w:lineRule="auto"/>
              <w:jc w:val="center"/>
              <w:rPr>
                <w:rFonts w:ascii="Times New Roman" w:hAnsi="Times New Roman" w:eastAsia="宋体" w:cs="Times New Roman"/>
                <w:bCs/>
                <w:szCs w:val="21"/>
              </w:rPr>
            </w:pPr>
            <w:r>
              <w:rPr>
                <w:rFonts w:ascii="Times New Roman" w:hAnsi="Times New Roman" w:eastAsia="宋体" w:cs="Times New Roman"/>
                <w:bCs/>
                <w:szCs w:val="21"/>
              </w:rPr>
              <w:t>制药集团、药厂、中药饮片加工企业、医院中药房、中药经营企业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trPr>
        <w:tc>
          <w:tcPr>
            <w:tcW w:w="10047" w:type="dxa"/>
            <w:gridSpan w:val="4"/>
          </w:tcPr>
          <w:p>
            <w:pPr>
              <w:spacing w:line="480" w:lineRule="auto"/>
              <w:rPr>
                <w:rFonts w:ascii="Times New Roman" w:hAnsi="Times New Roman" w:eastAsia="仿宋_GB2312" w:cs="Times New Roman"/>
                <w:sz w:val="28"/>
                <w:szCs w:val="28"/>
              </w:rPr>
            </w:pPr>
            <w:r>
              <w:rPr>
                <w:rFonts w:ascii="Times New Roman" w:hAnsi="Times New Roman" w:eastAsia="仿宋_GB2312" w:cs="Times New Roman"/>
                <w:sz w:val="28"/>
                <w:szCs w:val="28"/>
              </w:rPr>
              <w:t>人才需求情况（请加强与用人单位的沟通，预测用人单位对该专业的岗位需求。此处填写的内容要具体到用人单位名称及其人才需求预测数）</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截至</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020年2月</w:t>
            </w:r>
            <w:r>
              <w:rPr>
                <w:rFonts w:hint="eastAsia" w:ascii="Times New Roman" w:hAnsi="Times New Roman" w:eastAsia="宋体" w:cs="Times New Roman"/>
                <w:sz w:val="24"/>
                <w:szCs w:val="24"/>
              </w:rPr>
              <w:t>，全国中药相关的药品生产企业数量为</w:t>
            </w:r>
            <w:r>
              <w:rPr>
                <w:rFonts w:ascii="Times New Roman" w:hAnsi="Times New Roman" w:eastAsia="宋体" w:cs="Times New Roman"/>
                <w:sz w:val="24"/>
                <w:szCs w:val="24"/>
              </w:rPr>
              <w:t>3699家</w:t>
            </w:r>
            <w:r>
              <w:rPr>
                <w:rFonts w:hint="eastAsia" w:ascii="Times New Roman" w:hAnsi="Times New Roman" w:eastAsia="宋体" w:cs="Times New Roman"/>
                <w:sz w:val="24"/>
                <w:szCs w:val="24"/>
              </w:rPr>
              <w:t>，</w:t>
            </w:r>
            <w:r>
              <w:rPr>
                <w:rFonts w:ascii="Times New Roman" w:hAnsi="Times New Roman" w:eastAsia="宋体" w:cs="Times New Roman"/>
                <w:sz w:val="24"/>
                <w:szCs w:val="24"/>
              </w:rPr>
              <w:t>广东省为338家，占全国的9.1%</w:t>
            </w:r>
            <w:r>
              <w:rPr>
                <w:rFonts w:hint="eastAsia" w:ascii="Times New Roman" w:hAnsi="Times New Roman" w:eastAsia="宋体" w:cs="Times New Roman"/>
                <w:sz w:val="24"/>
                <w:szCs w:val="24"/>
              </w:rPr>
              <w:t>，是中药企业最多的省份</w:t>
            </w:r>
            <w:r>
              <w:rPr>
                <w:rFonts w:ascii="Times New Roman" w:hAnsi="Times New Roman" w:eastAsia="宋体" w:cs="Times New Roman"/>
                <w:sz w:val="24"/>
                <w:szCs w:val="24"/>
              </w:rPr>
              <w:t>。2006-2018中国中药行业上市公司市值排行榜，全国新增中药行业上市公司35家，广东省新增5家，占比14%。</w:t>
            </w:r>
            <w:r>
              <w:rPr>
                <w:rFonts w:hint="eastAsia" w:ascii="Times New Roman" w:hAnsi="Times New Roman" w:eastAsia="宋体" w:cs="Times New Roman"/>
                <w:sz w:val="24"/>
                <w:szCs w:val="24"/>
              </w:rPr>
              <w:t>其中</w:t>
            </w:r>
            <w:r>
              <w:rPr>
                <w:rFonts w:ascii="Times New Roman" w:hAnsi="Times New Roman" w:eastAsia="宋体" w:cs="Times New Roman"/>
                <w:sz w:val="24"/>
                <w:szCs w:val="24"/>
              </w:rPr>
              <w:t>广药白云山（第2名）、华润三九（第9名）中药行业上市公司市值排行榜前十名。广东省中药业的发展走在全国的前列，有许多基础较好的医药企业，如广州医药集团、珠海丽珠、深圳三九等，中医药科研成果已逐年增多，产业规模不断扩大，效益亦不断提高。但也有自身存在的问题：首先是</w:t>
            </w:r>
            <w:r>
              <w:rPr>
                <w:rFonts w:hint="eastAsia" w:ascii="Times New Roman" w:hAnsi="Times New Roman" w:eastAsia="宋体" w:cs="Times New Roman"/>
                <w:sz w:val="24"/>
                <w:szCs w:val="24"/>
              </w:rPr>
              <w:t>大部分</w:t>
            </w:r>
            <w:r>
              <w:rPr>
                <w:rFonts w:ascii="Times New Roman" w:hAnsi="Times New Roman" w:eastAsia="宋体" w:cs="Times New Roman"/>
                <w:sz w:val="24"/>
                <w:szCs w:val="24"/>
              </w:rPr>
              <w:t>中药企业规模仍不够大，产业集中度低；其次是技术开发与改造资金投入不足；第三，也是非常关键的是人才的缺乏，中药科研的学科带头人固然缺乏，但懂技术、会操作的高素质管理人员、生产技术工人也是严重不足。要企业自身来培训中药种植、鉴定、炮制、制药等岗位的技能型工人以满足生产需要，对企业来说，在人力、物力、财力上都是一个较重的负担，且培训质量也很难保证。人才的来源主要方式是培养、培训、引进。培养的周期长、花费大，但可为中药业的长足发展储备人才；培训虽可解决一时之需，但学员综合专业素质不高；引进是最快的途径，但数量少，而且技能型人才（技术工人）的需求量最大，很难通过引进得到满足。</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从调查结果分析得到的启发之一是中药制药行业缺乏大量的技术人才</w:t>
            </w:r>
            <w:r>
              <w:rPr>
                <w:rFonts w:hint="eastAsia" w:ascii="Times New Roman" w:hAnsi="Times New Roman" w:eastAsia="宋体" w:cs="Times New Roman"/>
                <w:sz w:val="24"/>
                <w:szCs w:val="24"/>
              </w:rPr>
              <w:t>，各大制药企业对中药制药应用型人才的需求快速增长。</w:t>
            </w:r>
            <w:r>
              <w:rPr>
                <w:rFonts w:ascii="Times New Roman" w:hAnsi="Times New Roman" w:eastAsia="宋体" w:cs="Times New Roman"/>
                <w:sz w:val="24"/>
                <w:szCs w:val="24"/>
              </w:rPr>
              <w:t>特别是在广东省建设中医药强省的大背景下，人才需求在今后几年将出现高峰</w:t>
            </w:r>
            <w:r>
              <w:rPr>
                <w:rFonts w:hint="eastAsia" w:ascii="Times New Roman" w:hAnsi="Times New Roman" w:eastAsia="宋体" w:cs="Times New Roman"/>
                <w:sz w:val="24"/>
                <w:szCs w:val="24"/>
              </w:rPr>
              <w:t>。</w:t>
            </w:r>
            <w:bookmarkStart w:id="0" w:name="_Hlk75350702"/>
            <w:r>
              <w:rPr>
                <w:rFonts w:hint="eastAsia" w:ascii="Times New Roman" w:hAnsi="Times New Roman" w:eastAsia="宋体" w:cs="Times New Roman"/>
                <w:sz w:val="24"/>
                <w:szCs w:val="24"/>
              </w:rPr>
              <w:t>但目前大部分高校中药制药专业主要是培养研究型人才，具备实践应用能力的复合型人才非常缺乏。</w:t>
            </w:r>
            <w:bookmarkEnd w:id="0"/>
            <w:r>
              <w:rPr>
                <w:rFonts w:ascii="Times New Roman" w:hAnsi="Times New Roman" w:eastAsia="宋体" w:cs="Times New Roman"/>
                <w:sz w:val="24"/>
                <w:szCs w:val="24"/>
              </w:rPr>
              <w:t>企业渴望毕业生能马上上岗，因此要进行课程体系和教学内容的改革，必须与生产第一线接轨</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中药制药毕业生主要在中药经营企业、医院中药房、中药饮片加工企业和中药养护等相关部门，中药生产企业、医院、药检部门的中药检验及其它与中药有关的单位部门，从事中药材栽培、中药商品购销和管理、中药加工炮制、中药养护、中药检测、制剂生产、调剂、质量监管等工作。制药企业对各类型制药人才的需求如下表所示：</w:t>
            </w:r>
          </w:p>
          <w:p>
            <w:pPr>
              <w:widowControl/>
              <w:spacing w:line="360" w:lineRule="auto"/>
              <w:ind w:firstLine="480" w:firstLineChars="200"/>
              <w:jc w:val="left"/>
              <w:rPr>
                <w:rFonts w:ascii="Times New Roman" w:hAnsi="Times New Roman" w:eastAsia="宋体" w:cs="Times New Roman"/>
                <w:sz w:val="24"/>
                <w:szCs w:val="24"/>
              </w:rPr>
            </w:pPr>
          </w:p>
          <w:tbl>
            <w:tblPr>
              <w:tblStyle w:val="4"/>
              <w:tblW w:w="98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3"/>
              <w:gridCol w:w="1418"/>
              <w:gridCol w:w="2126"/>
              <w:gridCol w:w="212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职业范围</w:t>
                  </w:r>
                </w:p>
              </w:tc>
              <w:tc>
                <w:tcPr>
                  <w:tcW w:w="3544" w:type="dxa"/>
                  <w:gridSpan w:val="2"/>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职业岗位</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典型工作任务</w:t>
                  </w:r>
                </w:p>
              </w:tc>
              <w:tc>
                <w:tcPr>
                  <w:tcW w:w="1418" w:type="dxa"/>
                </w:tcPr>
                <w:p>
                  <w:pPr>
                    <w:widowControl/>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vMerge w:val="restart"/>
                  <w:vAlign w:val="center"/>
                </w:tcPr>
                <w:p>
                  <w:pPr>
                    <w:widowControl/>
                    <w:spacing w:line="360" w:lineRule="auto"/>
                    <w:jc w:val="left"/>
                    <w:rPr>
                      <w:rFonts w:ascii="Times New Roman" w:hAnsi="Times New Roman" w:eastAsia="宋体" w:cs="Times New Roman"/>
                      <w:sz w:val="24"/>
                      <w:szCs w:val="24"/>
                    </w:rPr>
                  </w:pPr>
                  <w:r>
                    <w:rPr>
                      <w:rFonts w:ascii="Times New Roman" w:hAnsi="Times New Roman" w:eastAsia="宋体" w:cs="Times New Roman"/>
                      <w:sz w:val="24"/>
                      <w:szCs w:val="24"/>
                    </w:rPr>
                    <w:t>中药制药、饮片生产企业、医院中药房、科研机构、医药销售等</w:t>
                  </w:r>
                </w:p>
              </w:tc>
              <w:tc>
                <w:tcPr>
                  <w:tcW w:w="1418" w:type="dxa"/>
                  <w:vAlign w:val="center"/>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主要岗位</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药物研发型</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中药制剂研发</w:t>
                  </w:r>
                </w:p>
              </w:tc>
              <w:tc>
                <w:tcPr>
                  <w:tcW w:w="1418"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28.64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1418" w:type="dxa"/>
                  <w:vMerge w:val="restart"/>
                  <w:vAlign w:val="center"/>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相关</w:t>
                  </w:r>
                </w:p>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岗位</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药物制剂类</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制剂生产制备</w:t>
                  </w:r>
                </w:p>
              </w:tc>
              <w:tc>
                <w:tcPr>
                  <w:tcW w:w="1418"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1418"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药物分析类</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管理、质检</w:t>
                  </w:r>
                </w:p>
              </w:tc>
              <w:tc>
                <w:tcPr>
                  <w:tcW w:w="1418"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17.32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1418"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工艺管理类</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管理、控制</w:t>
                  </w:r>
                </w:p>
              </w:tc>
              <w:tc>
                <w:tcPr>
                  <w:tcW w:w="1418"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12.85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1418"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工程设计类</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生产设计</w:t>
                  </w:r>
                </w:p>
              </w:tc>
              <w:tc>
                <w:tcPr>
                  <w:tcW w:w="1418"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1418" w:type="dxa"/>
                  <w:vMerge w:val="continue"/>
                  <w:vAlign w:val="center"/>
                </w:tcPr>
                <w:p>
                  <w:pPr>
                    <w:widowControl/>
                    <w:spacing w:line="360" w:lineRule="auto"/>
                    <w:ind w:firstLine="480" w:firstLineChars="200"/>
                    <w:jc w:val="left"/>
                    <w:rPr>
                      <w:rFonts w:ascii="Times New Roman" w:hAnsi="Times New Roman" w:eastAsia="宋体" w:cs="Times New Roman"/>
                      <w:sz w:val="24"/>
                      <w:szCs w:val="24"/>
                    </w:rPr>
                  </w:pP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制药机械设备类</w:t>
                  </w:r>
                </w:p>
              </w:tc>
              <w:tc>
                <w:tcPr>
                  <w:tcW w:w="2126"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设备研制维护</w:t>
                  </w:r>
                </w:p>
              </w:tc>
              <w:tc>
                <w:tcPr>
                  <w:tcW w:w="1418" w:type="dxa"/>
                </w:tcPr>
                <w:p>
                  <w:pPr>
                    <w:widowControl/>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8.42</w:t>
                  </w:r>
                </w:p>
              </w:tc>
            </w:tr>
          </w:tbl>
          <w:p>
            <w:pPr>
              <w:spacing w:line="480" w:lineRule="auto"/>
              <w:rPr>
                <w:rFonts w:ascii="Times New Roman" w:hAnsi="Times New Roman" w:eastAsia="仿宋_GB2312" w:cs="Times New Roman"/>
                <w:sz w:val="28"/>
                <w:szCs w:val="28"/>
              </w:rPr>
            </w:pPr>
          </w:p>
          <w:p>
            <w:pPr>
              <w:spacing w:line="480" w:lineRule="auto"/>
              <w:rPr>
                <w:rFonts w:ascii="Times New Roman" w:hAnsi="Times New Roman" w:eastAsia="仿宋_GB2312" w:cs="Times New Roman"/>
                <w:sz w:val="28"/>
                <w:szCs w:val="28"/>
              </w:rPr>
            </w:pPr>
          </w:p>
          <w:p>
            <w:pPr>
              <w:spacing w:line="480" w:lineRule="auto"/>
              <w:rPr>
                <w:rFonts w:ascii="Times New Roman" w:hAnsi="Times New Roman" w:eastAsia="仿宋_GB2312" w:cs="Times New Roman"/>
                <w:sz w:val="28"/>
                <w:szCs w:val="28"/>
              </w:rPr>
            </w:pPr>
          </w:p>
          <w:p>
            <w:pPr>
              <w:spacing w:line="480" w:lineRule="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restart"/>
            <w:vAlign w:val="center"/>
          </w:tcPr>
          <w:p>
            <w:pPr>
              <w:spacing w:line="480" w:lineRule="auto"/>
              <w:jc w:val="center"/>
              <w:rPr>
                <w:rFonts w:ascii="Times New Roman" w:hAnsi="Times New Roman" w:eastAsia="宋体" w:cs="Times New Roman"/>
                <w:sz w:val="24"/>
              </w:rPr>
            </w:pPr>
            <w:r>
              <w:rPr>
                <w:rFonts w:ascii="Times New Roman" w:hAnsi="Times New Roman" w:eastAsia="宋体" w:cs="Times New Roman"/>
                <w:sz w:val="24"/>
              </w:rPr>
              <w:t>申报专业人才需求调研情况（可上传合作办学协议等）</w:t>
            </w:r>
          </w:p>
        </w:tc>
        <w:tc>
          <w:tcPr>
            <w:tcW w:w="4139" w:type="dxa"/>
            <w:gridSpan w:val="2"/>
            <w:vAlign w:val="center"/>
          </w:tcPr>
          <w:p>
            <w:pPr>
              <w:spacing w:line="480" w:lineRule="auto"/>
              <w:jc w:val="center"/>
              <w:rPr>
                <w:rFonts w:ascii="Times New Roman" w:hAnsi="Times New Roman" w:eastAsia="宋体" w:cs="Times New Roman"/>
                <w:sz w:val="24"/>
              </w:rPr>
            </w:pPr>
            <w:r>
              <w:rPr>
                <w:rFonts w:ascii="Times New Roman" w:hAnsi="Times New Roman" w:eastAsia="宋体" w:cs="Times New Roman"/>
                <w:sz w:val="24"/>
              </w:rPr>
              <w:t>年度计划招生人数</w:t>
            </w:r>
          </w:p>
        </w:tc>
        <w:tc>
          <w:tcPr>
            <w:tcW w:w="3951" w:type="dxa"/>
            <w:vAlign w:val="center"/>
          </w:tcPr>
          <w:p>
            <w:pPr>
              <w:spacing w:line="480" w:lineRule="auto"/>
              <w:jc w:val="center"/>
              <w:rPr>
                <w:rFonts w:ascii="Times New Roman" w:hAnsi="Times New Roman" w:eastAsia="宋体" w:cs="Times New Roman"/>
                <w:bCs/>
                <w:sz w:val="24"/>
                <w:szCs w:val="24"/>
              </w:rPr>
            </w:pPr>
            <w:r>
              <w:rPr>
                <w:rFonts w:hint="eastAsia" w:ascii="Times New Roman" w:hAnsi="Times New Roman" w:eastAsia="宋体" w:cs="Times New Roman"/>
                <w:bCs/>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宋体" w:cs="Times New Roman"/>
                <w:b/>
                <w:sz w:val="36"/>
                <w:szCs w:val="36"/>
              </w:rPr>
            </w:pPr>
          </w:p>
        </w:tc>
        <w:tc>
          <w:tcPr>
            <w:tcW w:w="4139" w:type="dxa"/>
            <w:gridSpan w:val="2"/>
            <w:vAlign w:val="center"/>
          </w:tcPr>
          <w:p>
            <w:pPr>
              <w:spacing w:line="480" w:lineRule="auto"/>
              <w:jc w:val="center"/>
              <w:rPr>
                <w:rFonts w:ascii="Times New Roman" w:hAnsi="Times New Roman" w:eastAsia="宋体" w:cs="Times New Roman"/>
                <w:sz w:val="24"/>
              </w:rPr>
            </w:pPr>
            <w:r>
              <w:rPr>
                <w:rFonts w:ascii="Times New Roman" w:hAnsi="Times New Roman" w:eastAsia="宋体" w:cs="Times New Roman"/>
                <w:sz w:val="24"/>
              </w:rPr>
              <w:t>预计升学人数</w:t>
            </w:r>
          </w:p>
        </w:tc>
        <w:tc>
          <w:tcPr>
            <w:tcW w:w="3951" w:type="dxa"/>
            <w:vAlign w:val="center"/>
          </w:tcPr>
          <w:p>
            <w:pPr>
              <w:spacing w:line="480" w:lineRule="auto"/>
              <w:jc w:val="center"/>
              <w:rPr>
                <w:rFonts w:ascii="Times New Roman" w:hAnsi="Times New Roman" w:eastAsia="宋体" w:cs="Times New Roman"/>
                <w:bCs/>
                <w:sz w:val="24"/>
                <w:szCs w:val="24"/>
              </w:rPr>
            </w:pPr>
            <w:r>
              <w:rPr>
                <w:rFonts w:hint="eastAsia" w:ascii="Times New Roman" w:hAnsi="Times New Roman" w:eastAsia="宋体" w:cs="Times New Roman"/>
                <w:bCs/>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宋体" w:cs="Times New Roman"/>
                <w:b/>
                <w:sz w:val="36"/>
                <w:szCs w:val="36"/>
              </w:rPr>
            </w:pPr>
          </w:p>
        </w:tc>
        <w:tc>
          <w:tcPr>
            <w:tcW w:w="4139" w:type="dxa"/>
            <w:gridSpan w:val="2"/>
            <w:vAlign w:val="center"/>
          </w:tcPr>
          <w:p>
            <w:pPr>
              <w:spacing w:line="480" w:lineRule="auto"/>
              <w:jc w:val="center"/>
              <w:rPr>
                <w:rFonts w:ascii="Times New Roman" w:hAnsi="Times New Roman" w:eastAsia="宋体" w:cs="Times New Roman"/>
                <w:sz w:val="24"/>
              </w:rPr>
            </w:pPr>
            <w:r>
              <w:rPr>
                <w:rFonts w:ascii="Times New Roman" w:hAnsi="Times New Roman" w:eastAsia="宋体" w:cs="Times New Roman"/>
                <w:sz w:val="24"/>
              </w:rPr>
              <w:t>预计就业人数</w:t>
            </w:r>
          </w:p>
        </w:tc>
        <w:tc>
          <w:tcPr>
            <w:tcW w:w="3951" w:type="dxa"/>
            <w:vAlign w:val="center"/>
          </w:tcPr>
          <w:p>
            <w:pPr>
              <w:spacing w:line="480" w:lineRule="auto"/>
              <w:jc w:val="center"/>
              <w:rPr>
                <w:rFonts w:ascii="Times New Roman" w:hAnsi="Times New Roman" w:eastAsia="宋体" w:cs="Times New Roman"/>
                <w:bCs/>
                <w:sz w:val="24"/>
                <w:szCs w:val="24"/>
              </w:rPr>
            </w:pPr>
            <w:r>
              <w:rPr>
                <w:rFonts w:hint="eastAsia" w:ascii="Times New Roman" w:hAnsi="Times New Roman" w:eastAsia="宋体" w:cs="Times New Roman"/>
                <w:bCs/>
                <w:sz w:val="24"/>
                <w:szCs w:val="24"/>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宋体" w:cs="Times New Roman"/>
                <w:b/>
                <w:sz w:val="36"/>
                <w:szCs w:val="36"/>
              </w:rPr>
            </w:pPr>
          </w:p>
        </w:tc>
        <w:tc>
          <w:tcPr>
            <w:tcW w:w="4139" w:type="dxa"/>
            <w:gridSpan w:val="2"/>
            <w:vAlign w:val="center"/>
          </w:tcPr>
          <w:p>
            <w:pPr>
              <w:spacing w:line="48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其中： 广州陈李济制药厂</w:t>
            </w:r>
          </w:p>
        </w:tc>
        <w:tc>
          <w:tcPr>
            <w:tcW w:w="3951" w:type="dxa"/>
            <w:vAlign w:val="center"/>
          </w:tcPr>
          <w:p>
            <w:pPr>
              <w:spacing w:line="480" w:lineRule="auto"/>
              <w:jc w:val="center"/>
              <w:rPr>
                <w:rFonts w:ascii="Times New Roman" w:hAnsi="Times New Roman" w:eastAsia="宋体" w:cs="Times New Roman"/>
                <w:bCs/>
                <w:sz w:val="24"/>
                <w:szCs w:val="24"/>
              </w:rPr>
            </w:pPr>
            <w:r>
              <w:rPr>
                <w:rFonts w:ascii="Times New Roman" w:hAnsi="Times New Roman" w:eastAsia="宋体" w:cs="Times New Roman"/>
                <w:bCs/>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宋体" w:cs="Times New Roman"/>
                <w:b/>
                <w:sz w:val="36"/>
                <w:szCs w:val="36"/>
              </w:rPr>
            </w:pPr>
          </w:p>
        </w:tc>
        <w:tc>
          <w:tcPr>
            <w:tcW w:w="4139" w:type="dxa"/>
            <w:gridSpan w:val="2"/>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白云山何济公制药厂</w:t>
            </w:r>
          </w:p>
        </w:tc>
        <w:tc>
          <w:tcPr>
            <w:tcW w:w="3951" w:type="dxa"/>
            <w:vAlign w:val="center"/>
          </w:tcPr>
          <w:p>
            <w:pPr>
              <w:spacing w:line="480" w:lineRule="auto"/>
              <w:jc w:val="center"/>
              <w:rPr>
                <w:rFonts w:ascii="Times New Roman" w:hAnsi="Times New Roman" w:eastAsia="宋体" w:cs="Times New Roman"/>
                <w:bCs/>
                <w:sz w:val="24"/>
                <w:szCs w:val="24"/>
              </w:rPr>
            </w:pPr>
            <w:r>
              <w:rPr>
                <w:rFonts w:ascii="Times New Roman" w:hAnsi="Times New Roman" w:eastAsia="宋体" w:cs="Times New Roman"/>
                <w:bCs/>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宋体" w:cs="Times New Roman"/>
                <w:b/>
                <w:sz w:val="36"/>
                <w:szCs w:val="36"/>
              </w:rPr>
            </w:pPr>
          </w:p>
        </w:tc>
        <w:tc>
          <w:tcPr>
            <w:tcW w:w="4139" w:type="dxa"/>
            <w:gridSpan w:val="2"/>
          </w:tcPr>
          <w:p>
            <w:pPr>
              <w:jc w:val="center"/>
              <w:rPr>
                <w:rFonts w:ascii="Times New Roman" w:hAnsi="Times New Roman" w:eastAsia="宋体" w:cs="Times New Roman"/>
                <w:sz w:val="24"/>
                <w:szCs w:val="24"/>
              </w:rPr>
            </w:pPr>
            <w:r>
              <w:rPr>
                <w:rFonts w:hint="eastAsia"/>
                <w:sz w:val="24"/>
                <w:szCs w:val="24"/>
              </w:rPr>
              <w:t>东莞市中医院</w:t>
            </w:r>
          </w:p>
        </w:tc>
        <w:tc>
          <w:tcPr>
            <w:tcW w:w="3951" w:type="dxa"/>
          </w:tcPr>
          <w:p>
            <w:pPr>
              <w:spacing w:line="480" w:lineRule="auto"/>
              <w:jc w:val="center"/>
              <w:rPr>
                <w:rFonts w:ascii="Times New Roman" w:hAnsi="Times New Roman" w:eastAsia="宋体" w:cs="Times New Roman"/>
                <w:bCs/>
                <w:sz w:val="24"/>
                <w:szCs w:val="24"/>
              </w:rPr>
            </w:pPr>
            <w:r>
              <w:rPr>
                <w:rFonts w:ascii="楷体_GB2312" w:hAnsi="华文中宋" w:eastAsia="楷体_GB2312"/>
                <w:bCs/>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楷体_GB2312" w:cs="Times New Roman"/>
                <w:b/>
                <w:sz w:val="36"/>
                <w:szCs w:val="36"/>
              </w:rPr>
            </w:pPr>
          </w:p>
        </w:tc>
        <w:tc>
          <w:tcPr>
            <w:tcW w:w="4139" w:type="dxa"/>
            <w:gridSpan w:val="2"/>
          </w:tcPr>
          <w:p>
            <w:pPr>
              <w:jc w:val="center"/>
              <w:rPr>
                <w:rFonts w:ascii="宋体" w:hAnsi="宋体" w:eastAsia="宋体" w:cs="Times New Roman"/>
                <w:sz w:val="24"/>
                <w:szCs w:val="24"/>
              </w:rPr>
            </w:pPr>
            <w:r>
              <w:rPr>
                <w:rFonts w:hint="eastAsia"/>
                <w:sz w:val="24"/>
                <w:szCs w:val="24"/>
              </w:rPr>
              <w:t>广东嘉应制药股份有限公司</w:t>
            </w:r>
          </w:p>
        </w:tc>
        <w:tc>
          <w:tcPr>
            <w:tcW w:w="3951" w:type="dxa"/>
          </w:tcPr>
          <w:p>
            <w:pPr>
              <w:spacing w:line="480" w:lineRule="auto"/>
              <w:jc w:val="center"/>
              <w:rPr>
                <w:rFonts w:ascii="Times New Roman" w:hAnsi="Times New Roman" w:eastAsia="楷体_GB2312" w:cs="Times New Roman"/>
                <w:bCs/>
                <w:sz w:val="24"/>
                <w:szCs w:val="24"/>
              </w:rPr>
            </w:pPr>
            <w:r>
              <w:rPr>
                <w:rFonts w:hint="eastAsia" w:ascii="Times New Roman"/>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57" w:type="dxa"/>
            <w:vMerge w:val="continue"/>
            <w:vAlign w:val="center"/>
          </w:tcPr>
          <w:p>
            <w:pPr>
              <w:spacing w:line="480" w:lineRule="auto"/>
              <w:jc w:val="center"/>
              <w:rPr>
                <w:rFonts w:ascii="Times New Roman" w:hAnsi="Times New Roman" w:eastAsia="楷体_GB2312" w:cs="Times New Roman"/>
                <w:b/>
                <w:sz w:val="36"/>
                <w:szCs w:val="36"/>
              </w:rPr>
            </w:pPr>
          </w:p>
        </w:tc>
        <w:tc>
          <w:tcPr>
            <w:tcW w:w="4139" w:type="dxa"/>
            <w:gridSpan w:val="2"/>
          </w:tcPr>
          <w:p>
            <w:pPr>
              <w:jc w:val="center"/>
              <w:rPr>
                <w:rFonts w:ascii="宋体" w:hAnsi="宋体" w:eastAsia="宋体" w:cs="Times New Roman"/>
                <w:sz w:val="24"/>
                <w:szCs w:val="24"/>
              </w:rPr>
            </w:pPr>
            <w:r>
              <w:rPr>
                <w:sz w:val="24"/>
                <w:szCs w:val="24"/>
              </w:rPr>
              <w:t>广东罗浮山国药股份有限公司</w:t>
            </w:r>
          </w:p>
        </w:tc>
        <w:tc>
          <w:tcPr>
            <w:tcW w:w="3951" w:type="dxa"/>
          </w:tcPr>
          <w:p>
            <w:pPr>
              <w:spacing w:line="480" w:lineRule="auto"/>
              <w:jc w:val="center"/>
              <w:rPr>
                <w:rFonts w:ascii="Times New Roman" w:hAnsi="Times New Roman" w:eastAsia="楷体_GB2312" w:cs="Times New Roman"/>
                <w:bCs/>
                <w:sz w:val="24"/>
                <w:szCs w:val="24"/>
              </w:rPr>
            </w:pPr>
            <w:r>
              <w:rPr>
                <w:rFonts w:hint="eastAsia" w:ascii="Times New Roman"/>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楷体_GB2312" w:cs="Times New Roman"/>
                <w:b/>
                <w:sz w:val="36"/>
                <w:szCs w:val="36"/>
              </w:rPr>
            </w:pPr>
          </w:p>
        </w:tc>
        <w:tc>
          <w:tcPr>
            <w:tcW w:w="4139" w:type="dxa"/>
            <w:gridSpan w:val="2"/>
            <w:vAlign w:val="center"/>
          </w:tcPr>
          <w:p>
            <w:pPr>
              <w:jc w:val="center"/>
              <w:rPr>
                <w:rFonts w:ascii="宋体" w:hAnsi="宋体" w:eastAsia="宋体" w:cs="Times New Roman"/>
                <w:sz w:val="24"/>
                <w:szCs w:val="24"/>
              </w:rPr>
            </w:pPr>
            <w:r>
              <w:rPr>
                <w:rFonts w:hint="eastAsia"/>
                <w:sz w:val="24"/>
                <w:szCs w:val="24"/>
              </w:rPr>
              <w:t>广东新南方青蒿药业有限公司</w:t>
            </w:r>
          </w:p>
        </w:tc>
        <w:tc>
          <w:tcPr>
            <w:tcW w:w="3951" w:type="dxa"/>
            <w:vAlign w:val="center"/>
          </w:tcPr>
          <w:p>
            <w:pPr>
              <w:spacing w:line="480" w:lineRule="auto"/>
              <w:jc w:val="center"/>
              <w:rPr>
                <w:rFonts w:ascii="Times New Roman" w:hAnsi="Times New Roman" w:eastAsia="楷体_GB2312" w:cs="Times New Roman"/>
                <w:bCs/>
                <w:sz w:val="24"/>
                <w:szCs w:val="24"/>
              </w:rPr>
            </w:pPr>
            <w:r>
              <w:rPr>
                <w:rFonts w:hint="eastAsia" w:ascii="楷体_GB2312" w:hAnsi="华文中宋" w:eastAsia="楷体_GB2312"/>
                <w:bCs/>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57" w:type="dxa"/>
            <w:vMerge w:val="continue"/>
            <w:vAlign w:val="center"/>
          </w:tcPr>
          <w:p>
            <w:pPr>
              <w:spacing w:line="480" w:lineRule="auto"/>
              <w:jc w:val="center"/>
              <w:rPr>
                <w:rFonts w:ascii="Times New Roman" w:hAnsi="Times New Roman" w:eastAsia="楷体_GB2312" w:cs="Times New Roman"/>
                <w:b/>
                <w:sz w:val="36"/>
                <w:szCs w:val="36"/>
              </w:rPr>
            </w:pPr>
          </w:p>
        </w:tc>
        <w:tc>
          <w:tcPr>
            <w:tcW w:w="4139" w:type="dxa"/>
            <w:gridSpan w:val="2"/>
            <w:vAlign w:val="center"/>
          </w:tcPr>
          <w:p>
            <w:pPr>
              <w:jc w:val="center"/>
              <w:rPr>
                <w:rFonts w:ascii="宋体" w:hAnsi="宋体" w:eastAsia="宋体" w:cs="Times New Roman"/>
                <w:sz w:val="24"/>
                <w:szCs w:val="24"/>
              </w:rPr>
            </w:pPr>
            <w:r>
              <w:rPr>
                <w:rFonts w:hint="eastAsia"/>
                <w:sz w:val="24"/>
                <w:szCs w:val="24"/>
              </w:rPr>
              <w:t>广东时珍制药有限公司</w:t>
            </w:r>
          </w:p>
        </w:tc>
        <w:tc>
          <w:tcPr>
            <w:tcW w:w="3951" w:type="dxa"/>
            <w:vAlign w:val="center"/>
          </w:tcPr>
          <w:p>
            <w:pPr>
              <w:spacing w:line="480" w:lineRule="auto"/>
              <w:jc w:val="center"/>
              <w:rPr>
                <w:rFonts w:ascii="Times New Roman" w:hAnsi="Times New Roman" w:eastAsia="楷体_GB2312" w:cs="Times New Roman"/>
                <w:bCs/>
                <w:sz w:val="24"/>
                <w:szCs w:val="24"/>
              </w:rPr>
            </w:pPr>
            <w:r>
              <w:rPr>
                <w:rFonts w:hint="eastAsia" w:ascii="楷体_GB2312" w:hAnsi="华文中宋" w:eastAsia="楷体_GB2312"/>
                <w:bCs/>
                <w:sz w:val="24"/>
                <w:szCs w:val="24"/>
              </w:rPr>
              <w:t>3</w:t>
            </w:r>
          </w:p>
        </w:tc>
      </w:tr>
    </w:tbl>
    <w:p>
      <w:pPr>
        <w:spacing w:line="360" w:lineRule="auto"/>
        <w:ind w:left="482"/>
        <w:rPr>
          <w:rFonts w:ascii="Times New Roman" w:hAnsi="Times New Roman" w:eastAsia="宋体" w:cs="Times New Roman"/>
          <w:b/>
          <w:sz w:val="24"/>
          <w:szCs w:val="24"/>
        </w:rPr>
      </w:pPr>
    </w:p>
    <w:p>
      <w:pPr>
        <w:numPr>
          <w:ilvl w:val="0"/>
          <w:numId w:val="1"/>
        </w:num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我校开中药制药专业的特色和优势</w:t>
      </w:r>
    </w:p>
    <w:p>
      <w:pPr>
        <w:spacing w:line="360" w:lineRule="auto"/>
        <w:ind w:firstLine="482" w:firstLineChars="200"/>
        <w:rPr>
          <w:rFonts w:ascii="Times New Roman" w:hAnsi="Times New Roman" w:eastAsia="宋体" w:cs="Times New Roman"/>
          <w:b/>
          <w:bCs/>
          <w:sz w:val="24"/>
          <w:szCs w:val="24"/>
        </w:rPr>
      </w:pPr>
      <w:r>
        <w:rPr>
          <w:rFonts w:ascii="Times New Roman" w:hAnsi="Times New Roman" w:eastAsia="宋体" w:cs="Times New Roman"/>
          <w:b/>
          <w:bCs/>
          <w:sz w:val="24"/>
          <w:szCs w:val="24"/>
        </w:rPr>
        <w:t>（一）政策支持</w:t>
      </w:r>
    </w:p>
    <w:p>
      <w:pPr>
        <w:spacing w:line="360" w:lineRule="auto"/>
        <w:ind w:firstLine="480" w:firstLineChars="200"/>
        <w:rPr>
          <w:rFonts w:ascii="Times New Roman" w:hAnsi="Times New Roman" w:eastAsia="宋体" w:cs="Times New Roman"/>
          <w:sz w:val="24"/>
          <w:szCs w:val="24"/>
          <w:u w:val="single"/>
        </w:rPr>
      </w:pPr>
      <w:r>
        <w:rPr>
          <w:rFonts w:ascii="Times New Roman" w:hAnsi="Times New Roman" w:eastAsia="宋体" w:cs="Times New Roman"/>
          <w:sz w:val="24"/>
          <w:szCs w:val="24"/>
        </w:rPr>
        <w:t>在国家大力发展中医药的同时，中共中央、国务院提出建设健康中国，首次在国家层面提出的健康领域的中长期战略规划，实行中西医并重，大力发展健康产业。省委省政府和市委市政府高度重视我省中医药事业的发展，先后颁布实施了《关于促进中医药事业和产业高质量发展的若干措施》等一系列政策法规，</w:t>
      </w:r>
      <w:r>
        <w:rPr>
          <w:rFonts w:ascii="Times New Roman" w:hAnsi="Times New Roman" w:eastAsia="宋体" w:cs="Times New Roman"/>
          <w:sz w:val="24"/>
          <w:szCs w:val="24"/>
          <w:u w:val="single"/>
        </w:rPr>
        <w:t>设立广州南方学院中药制药专业符合国家和省市政策。</w:t>
      </w:r>
    </w:p>
    <w:p>
      <w:pPr>
        <w:spacing w:line="360" w:lineRule="auto"/>
        <w:ind w:firstLine="482" w:firstLineChars="200"/>
        <w:rPr>
          <w:rFonts w:ascii="Times New Roman" w:hAnsi="Times New Roman" w:eastAsia="宋体" w:cs="Times New Roman"/>
          <w:b/>
          <w:bCs/>
          <w:sz w:val="24"/>
          <w:szCs w:val="24"/>
        </w:rPr>
      </w:pPr>
      <w:r>
        <w:rPr>
          <w:rFonts w:ascii="Times New Roman" w:hAnsi="Times New Roman" w:eastAsia="宋体" w:cs="Times New Roman"/>
          <w:b/>
          <w:bCs/>
          <w:sz w:val="24"/>
          <w:szCs w:val="24"/>
        </w:rPr>
        <w:t>（二）本部依托</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u w:val="single"/>
        </w:rPr>
        <w:t>依托广州南方学院建设新校区增设中医药类专业，可实现办学资源共享，提高办学效益。</w:t>
      </w:r>
      <w:r>
        <w:rPr>
          <w:rFonts w:ascii="Times New Roman" w:hAnsi="Times New Roman" w:eastAsia="宋体" w:cs="Times New Roman"/>
          <w:sz w:val="24"/>
          <w:szCs w:val="24"/>
        </w:rPr>
        <w:t>广州南方学院是2006年经教育部批准，由中山大学与广东珠江投资股份有限公司合作创办的独立学院，是一所多学科全日制应用型本科高等学校，首批广东省普通本科转型试点高校。经过十余年的建设和发展，实现了千亩校园、万人规模、学科齐全、名师齐聚、人才辈出的办学目标。学校先后荣获广东民办教育突出贡献奖、中国社会影响力独立学院、中国最具办学特色独立学院等奖项；获评“中国六星级独立学院”、“中国顶尖独立学院”称号。学校设有10个院系</w:t>
      </w:r>
      <w:r>
        <w:rPr>
          <w:rFonts w:hint="eastAsia" w:ascii="Times New Roman" w:hAnsi="Times New Roman" w:eastAsia="宋体" w:cs="Times New Roman"/>
          <w:sz w:val="24"/>
          <w:szCs w:val="24"/>
          <w:lang w:val="en-US" w:eastAsia="zh-CN"/>
        </w:rPr>
        <w:t>44</w:t>
      </w:r>
      <w:r>
        <w:rPr>
          <w:rFonts w:ascii="Times New Roman" w:hAnsi="Times New Roman" w:eastAsia="宋体" w:cs="Times New Roman"/>
          <w:sz w:val="24"/>
          <w:szCs w:val="24"/>
        </w:rPr>
        <w:t>个专业，工学、医学、艺术学多学科协调发展。其中“云康医学与健康管理学院”、“护理与健康学院”中设置医学检验技术、护理学专业，拟开设康复医学专业；同时拥有音乐学艺术类专业等，为中医药学院开办提供支撑。</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校位于从化，地处地理位置优越，为中药制药专业的增设提供学习基地。从化作为广州的后花园，基于区位优势发展自己的特色，积极推动“中华国医国药发展示范基地”项目创建工作，将建设集中医药文化、中医药服务、中医药交流、中医药科研、中医药孵化、中医药工业、中医药流通和中药材基地为一体的综合性、创新性、国家级的大型中医药产业聚集区。并将中医药文化遗产研究、华南中医药物流配送中心建设、中医药研发和生产基地建设等列入发展规划。创建中医药学院，培养大批具备中医药知识和技能的实用型人才，将进一步优化产业结构，促进第一二三产业协同发展，推进乡村振兴建设，为农村经济发展作贡献。同时也将进一步增强广州和港澳中医药服务水平，助推大湾区战略产业升级和发展，助力健康中国的建设。</w:t>
      </w:r>
    </w:p>
    <w:p>
      <w:pPr>
        <w:spacing w:line="360" w:lineRule="auto"/>
        <w:ind w:firstLine="482" w:firstLineChars="200"/>
        <w:rPr>
          <w:rFonts w:ascii="Times New Roman" w:hAnsi="Times New Roman" w:eastAsia="宋体" w:cs="Times New Roman"/>
          <w:b/>
          <w:bCs/>
          <w:sz w:val="24"/>
          <w:szCs w:val="24"/>
        </w:rPr>
      </w:pPr>
      <w:r>
        <w:rPr>
          <w:rFonts w:ascii="Times New Roman" w:hAnsi="Times New Roman" w:eastAsia="宋体" w:cs="Times New Roman"/>
          <w:b/>
          <w:bCs/>
          <w:sz w:val="24"/>
          <w:szCs w:val="24"/>
        </w:rPr>
        <w:t>（三）院校支持</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u w:val="single"/>
        </w:rPr>
        <w:t>本校得到其他高校的大力支持，为中药制药专业的建设提供了强有力的支撑。</w:t>
      </w:r>
      <w:r>
        <w:rPr>
          <w:rFonts w:ascii="Times New Roman" w:hAnsi="Times New Roman" w:eastAsia="宋体" w:cs="Times New Roman"/>
          <w:sz w:val="24"/>
          <w:szCs w:val="24"/>
        </w:rPr>
        <w:t>设立中药制药新专业，从目标定位、专业建设、师资力量等各方面将得到广州中医药大学和广州医科大学中西医结合研究所（中西医临床学院）的大力支持，与广州南方学院相关学科专业实现教学师资资源共享；聘用附属从化区中医院专业队伍作为临床实践教学师资；打造创新型的中医药特色的与产业融合的“双师型”师资队伍；与行业企业、医院合作建立兼职教师库，落实学校兼职教师聘任、管理与考核办法，提高和保证兼职教师的教学质量，为新专业的建设、办学条件和运行提供有力保障。</w:t>
      </w:r>
    </w:p>
    <w:p>
      <w:pPr>
        <w:spacing w:line="360" w:lineRule="auto"/>
        <w:ind w:firstLine="482" w:firstLineChars="20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（四）校企合作</w:t>
      </w:r>
    </w:p>
    <w:p>
      <w:pPr>
        <w:spacing w:line="360" w:lineRule="auto"/>
        <w:ind w:firstLine="480" w:firstLineChars="200"/>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中药制药专业的设立立足于广东，</w:t>
      </w:r>
      <w:r>
        <w:rPr>
          <w:rFonts w:hint="eastAsia" w:ascii="Times New Roman" w:hAnsi="Times New Roman" w:eastAsia="宋体" w:cs="Times New Roman"/>
          <w:sz w:val="24"/>
          <w:szCs w:val="24"/>
          <w:u w:val="single"/>
        </w:rPr>
        <w:t>依托广州南方学院和广东新南方集团，产学研合作办学</w:t>
      </w:r>
      <w:r>
        <w:rPr>
          <w:rFonts w:hint="eastAsia" w:ascii="Times New Roman" w:hAnsi="Times New Roman" w:eastAsia="宋体" w:cs="Times New Roman"/>
          <w:sz w:val="24"/>
          <w:szCs w:val="24"/>
        </w:rPr>
        <w:t>。广东新南方集团有限公司</w:t>
      </w:r>
      <w:r>
        <w:rPr>
          <w:rFonts w:ascii="Times New Roman" w:hAnsi="Times New Roman" w:eastAsia="宋体" w:cs="Times New Roman"/>
          <w:sz w:val="24"/>
          <w:szCs w:val="24"/>
        </w:rPr>
        <w:t>是一家以中医药健康产业为主导的现代化产业集团，已形成集科研、中药材种植、药品生产、医药贸易、网上购药、连锁终端、健康网络服务等为一体的立体化产业链布局。</w:t>
      </w:r>
      <w:r>
        <w:rPr>
          <w:rFonts w:hint="eastAsia" w:ascii="Times New Roman" w:hAnsi="Times New Roman" w:eastAsia="宋体" w:cs="Times New Roman"/>
          <w:sz w:val="24"/>
          <w:szCs w:val="24"/>
        </w:rPr>
        <w:t>旗下有广州中医药大学科技创业园有限公司、广东新南方青蒿药业有限公司、广东新南方青蒿科技有限公司、广东紫和堂大药房有限公司、广州养和医药连锁有限公司等多个中医药企业，高校、企业、医院多方合作，为新专业提供办学支撑。中药制药专业的培养方案凸显应用型人才培养的目标，在目前大部分高校中药制药专业主要是培养研究型人才、实践应用型人才缺乏的情况下，</w:t>
      </w:r>
      <w:r>
        <w:rPr>
          <w:rFonts w:hint="eastAsia" w:ascii="Times New Roman" w:hAnsi="Times New Roman" w:eastAsia="宋体" w:cs="Times New Roman"/>
          <w:sz w:val="24"/>
          <w:szCs w:val="24"/>
          <w:u w:val="single"/>
        </w:rPr>
        <w:t>本专业的开办具备独特的优势。本专业课程设置注重实践要求，特别是在中药饮片与炮制方面，设置中药饮片与炮制特色课程，并与多个饮片生产企业合作，开展见习实践。本专业的开办突显岭南中医药人才培养特色，校企合作为学生提供充足的见习、实习、就业机会，为应用型人才培养提供切实保障。</w:t>
      </w:r>
    </w:p>
    <w:p>
      <w:pPr>
        <w:spacing w:line="360" w:lineRule="auto"/>
        <w:ind w:firstLine="482" w:firstLineChars="200"/>
        <w:rPr>
          <w:rFonts w:ascii="Times New Roman" w:hAnsi="Times New Roman" w:eastAsia="宋体" w:cs="Times New Roman"/>
          <w:b/>
          <w:bCs/>
          <w:sz w:val="24"/>
          <w:szCs w:val="24"/>
        </w:rPr>
      </w:pP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五</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校内</w:t>
      </w:r>
      <w:r>
        <w:rPr>
          <w:rFonts w:ascii="Times New Roman" w:hAnsi="Times New Roman" w:eastAsia="宋体" w:cs="Times New Roman"/>
          <w:b/>
          <w:bCs/>
          <w:sz w:val="24"/>
          <w:szCs w:val="24"/>
        </w:rPr>
        <w:t>实训条件保障</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作为拟新开设专业实践教学基地，保证中医药相关专业师资队伍和实践教学质量。利用现有药学专业、中药专业的设备资源和师资优势，基本能满足中药制药相关实验、实训课所需的基本设备。</w:t>
      </w:r>
      <w:r>
        <w:rPr>
          <w:rFonts w:ascii="Times New Roman" w:hAnsi="Times New Roman" w:eastAsia="宋体" w:cs="Times New Roman"/>
          <w:sz w:val="24"/>
          <w:szCs w:val="24"/>
          <w:u w:val="single"/>
        </w:rPr>
        <w:t>学院购置1000多万元的仪器设备，满足初期办学的实训教学需要；大力加强实训基地建设，建设功能综合化、环境职业化、作业标准化、管理企业化、运行开放化的具有产学研融合的校内综合实训基地。</w:t>
      </w:r>
      <w:r>
        <w:rPr>
          <w:rFonts w:ascii="Times New Roman" w:hAnsi="Times New Roman" w:eastAsia="宋体" w:cs="Times New Roman"/>
          <w:sz w:val="24"/>
          <w:szCs w:val="24"/>
        </w:rPr>
        <w:t>并将按照优势互补、人才共育、责任共担、共管共享的原则进行校外实习基地建设。加强附属医院建设，提高医院师资的实训教学水平以保证教学质量。</w:t>
      </w:r>
    </w:p>
    <w:p>
      <w:pPr>
        <w:numPr>
          <w:ilvl w:val="0"/>
          <w:numId w:val="1"/>
        </w:num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总结</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校企合作的模式有很多种，欧美等发达国家经过多年的尝试和发展建立了一些成熟的校企合作关系模式，比如美国的“合作教育”、德国的“双元制”、英国的“三明治”和澳大利亚的“技术和继续教育”等。这些国外成熟的校企合作模式对我国的校企合作具有一定的借鉴意义，综上所述，此次我校申请此专业由校企合作联合办学，由于国家建设与经济发展目前及未来一段时期对中药制药专业人才有大量需求，随着制药行业发展和管理的标准化、规范化，行业企业对专业人才的职业能力和职业素养要求不断提高。对本专业的人才要求也会相应提高。因此，在我学院开设中药制药专业具有广阔的发展前景。</w:t>
      </w:r>
    </w:p>
    <w:p>
      <w:pPr>
        <w:spacing w:line="360" w:lineRule="auto"/>
        <w:ind w:firstLine="480" w:firstLineChars="200"/>
        <w:rPr>
          <w:rFonts w:ascii="Times New Roman" w:hAnsi="Times New Roman" w:eastAsia="宋体" w:cs="Times New Roman"/>
          <w:sz w:val="24"/>
          <w:szCs w:val="24"/>
        </w:rPr>
      </w:pPr>
    </w:p>
    <w:p>
      <w:pPr>
        <w:spacing w:before="27"/>
        <w:ind w:left="1042" w:right="1167"/>
        <w:jc w:val="left"/>
        <w:rPr>
          <w:rFonts w:ascii="Times New Roman" w:hAnsi="Times New Roman" w:eastAsia="微软雅黑" w:cs="Times New Roman"/>
          <w:sz w:val="22"/>
        </w:rPr>
      </w:pPr>
    </w:p>
    <w:sectPr>
      <w:pgSz w:w="11906" w:h="16838"/>
      <w:pgMar w:top="1133" w:right="1361" w:bottom="1230"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D15EF"/>
    <w:multiLevelType w:val="singleLevel"/>
    <w:tmpl w:val="071D15EF"/>
    <w:lvl w:ilvl="0" w:tentative="0">
      <w:start w:val="1"/>
      <w:numFmt w:val="decimal"/>
      <w:suff w:val="nothing"/>
      <w:lvlText w:val="（%1）"/>
      <w:lvlJc w:val="left"/>
    </w:lvl>
  </w:abstractNum>
  <w:abstractNum w:abstractNumId="1">
    <w:nsid w:val="4A85252D"/>
    <w:multiLevelType w:val="singleLevel"/>
    <w:tmpl w:val="4A85252D"/>
    <w:lvl w:ilvl="0" w:tentative="0">
      <w:start w:val="1"/>
      <w:numFmt w:val="decimal"/>
      <w:suff w:val="nothing"/>
      <w:lvlText w:val="（%1）"/>
      <w:lvlJc w:val="left"/>
    </w:lvl>
  </w:abstractNum>
  <w:abstractNum w:abstractNumId="2">
    <w:nsid w:val="6CE62C52"/>
    <w:multiLevelType w:val="singleLevel"/>
    <w:tmpl w:val="6CE62C52"/>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DF8"/>
    <w:rsid w:val="0002222B"/>
    <w:rsid w:val="000D063A"/>
    <w:rsid w:val="00115764"/>
    <w:rsid w:val="001352CB"/>
    <w:rsid w:val="00154778"/>
    <w:rsid w:val="00160A70"/>
    <w:rsid w:val="0016105A"/>
    <w:rsid w:val="001D275B"/>
    <w:rsid w:val="002657FF"/>
    <w:rsid w:val="002F59BE"/>
    <w:rsid w:val="002F78E5"/>
    <w:rsid w:val="003031FD"/>
    <w:rsid w:val="00303D0A"/>
    <w:rsid w:val="00341514"/>
    <w:rsid w:val="00342D8B"/>
    <w:rsid w:val="00376B86"/>
    <w:rsid w:val="00390787"/>
    <w:rsid w:val="00390DF8"/>
    <w:rsid w:val="00393348"/>
    <w:rsid w:val="003B75A6"/>
    <w:rsid w:val="00425DCC"/>
    <w:rsid w:val="004477D7"/>
    <w:rsid w:val="00470254"/>
    <w:rsid w:val="00480611"/>
    <w:rsid w:val="00482F70"/>
    <w:rsid w:val="004950C2"/>
    <w:rsid w:val="004964D8"/>
    <w:rsid w:val="004A0A06"/>
    <w:rsid w:val="004A53EE"/>
    <w:rsid w:val="005111E4"/>
    <w:rsid w:val="00530A38"/>
    <w:rsid w:val="0055321C"/>
    <w:rsid w:val="00574888"/>
    <w:rsid w:val="00597C25"/>
    <w:rsid w:val="005A4B7D"/>
    <w:rsid w:val="005C2836"/>
    <w:rsid w:val="005E212F"/>
    <w:rsid w:val="005E7847"/>
    <w:rsid w:val="006055B4"/>
    <w:rsid w:val="00606E26"/>
    <w:rsid w:val="00656E70"/>
    <w:rsid w:val="006B497A"/>
    <w:rsid w:val="006C62AC"/>
    <w:rsid w:val="006D5111"/>
    <w:rsid w:val="006D5DD8"/>
    <w:rsid w:val="006E2219"/>
    <w:rsid w:val="006E521F"/>
    <w:rsid w:val="006E5684"/>
    <w:rsid w:val="00743179"/>
    <w:rsid w:val="007702C9"/>
    <w:rsid w:val="007769DD"/>
    <w:rsid w:val="00785C92"/>
    <w:rsid w:val="007C300D"/>
    <w:rsid w:val="007E5166"/>
    <w:rsid w:val="00831DED"/>
    <w:rsid w:val="008711C2"/>
    <w:rsid w:val="0089607D"/>
    <w:rsid w:val="008F2E1B"/>
    <w:rsid w:val="008F6A8A"/>
    <w:rsid w:val="009239A5"/>
    <w:rsid w:val="0094480A"/>
    <w:rsid w:val="00954A1F"/>
    <w:rsid w:val="0099203E"/>
    <w:rsid w:val="00A4026E"/>
    <w:rsid w:val="00A802F4"/>
    <w:rsid w:val="00A91C32"/>
    <w:rsid w:val="00AE37F8"/>
    <w:rsid w:val="00B16D7C"/>
    <w:rsid w:val="00B40A78"/>
    <w:rsid w:val="00BB1BC1"/>
    <w:rsid w:val="00BD681B"/>
    <w:rsid w:val="00BE3EA3"/>
    <w:rsid w:val="00BE7923"/>
    <w:rsid w:val="00BF1AD4"/>
    <w:rsid w:val="00BF5C09"/>
    <w:rsid w:val="00BF7338"/>
    <w:rsid w:val="00C42C17"/>
    <w:rsid w:val="00C81DFA"/>
    <w:rsid w:val="00C9308A"/>
    <w:rsid w:val="00CA2121"/>
    <w:rsid w:val="00CB6C3F"/>
    <w:rsid w:val="00CF42EC"/>
    <w:rsid w:val="00D069DD"/>
    <w:rsid w:val="00DC574D"/>
    <w:rsid w:val="00E34E53"/>
    <w:rsid w:val="00EB585B"/>
    <w:rsid w:val="00ED0D7A"/>
    <w:rsid w:val="00EE70CD"/>
    <w:rsid w:val="00F00634"/>
    <w:rsid w:val="00F258C0"/>
    <w:rsid w:val="00FC23D8"/>
    <w:rsid w:val="00FE7241"/>
    <w:rsid w:val="00FF2B13"/>
    <w:rsid w:val="05695D01"/>
    <w:rsid w:val="08B24B1B"/>
    <w:rsid w:val="23D15DF3"/>
    <w:rsid w:val="24166807"/>
    <w:rsid w:val="5DE86EB1"/>
    <w:rsid w:val="65E9796F"/>
    <w:rsid w:val="7BF8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990</Words>
  <Characters>5648</Characters>
  <Lines>47</Lines>
  <Paragraphs>13</Paragraphs>
  <TotalTime>412</TotalTime>
  <ScaleCrop>false</ScaleCrop>
  <LinksUpToDate>false</LinksUpToDate>
  <CharactersWithSpaces>6625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2020-06-18T12:00:00Z</dcterms:created>
  <dc:creator>甘 宏</dc:creator>
  <cp:lastModifiedBy>春晓</cp:lastModifiedBy>
  <cp:lastPrinted>2020-07-23T22:57:00Z</cp:lastPrinted>
  <dcterms:modified xsi:type="dcterms:W3CDTF">2021-07-27T06:10:23Z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6F843C90C6E9461AB5EEA3DD4E9DF07C</vt:lpwstr>
  </property>
</Properties>
</file>