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eastAsia="黑体"/>
          <w:b/>
          <w:bCs/>
          <w:sz w:val="44"/>
          <w:szCs w:val="18"/>
        </w:rPr>
      </w:pPr>
      <w:r>
        <w:rPr>
          <w:rFonts w:hint="eastAsia" w:hAnsi="黑体" w:eastAsia="黑体"/>
          <w:b/>
          <w:bCs/>
          <w:sz w:val="44"/>
          <w:szCs w:val="18"/>
          <w:u w:val="single"/>
        </w:rPr>
        <w:t>健康服务与管理</w:t>
      </w:r>
      <w:r>
        <w:rPr>
          <w:rFonts w:hint="eastAsia" w:hAnsi="黑体" w:eastAsia="黑体"/>
          <w:b/>
          <w:bCs/>
          <w:sz w:val="44"/>
          <w:szCs w:val="18"/>
        </w:rPr>
        <w:t>专业立体化</w:t>
      </w:r>
      <w:r>
        <w:rPr>
          <w:rFonts w:hAnsi="黑体" w:eastAsia="黑体"/>
          <w:b/>
          <w:bCs/>
          <w:sz w:val="44"/>
          <w:szCs w:val="18"/>
        </w:rPr>
        <w:t>人才培养方案</w:t>
      </w:r>
    </w:p>
    <w:p>
      <w:pPr>
        <w:spacing w:before="312" w:beforeLines="100"/>
        <w:rPr>
          <w:b/>
          <w:bCs/>
          <w:color w:val="000000"/>
          <w:sz w:val="28"/>
          <w:szCs w:val="28"/>
        </w:rPr>
      </w:pPr>
      <w:r>
        <w:rPr>
          <w:b/>
          <w:bCs/>
          <w:color w:val="000000"/>
          <w:sz w:val="28"/>
          <w:szCs w:val="28"/>
        </w:rPr>
        <w:t>一、专业名称、代码和学制</w:t>
      </w:r>
    </w:p>
    <w:p>
      <w:pPr>
        <w:pStyle w:val="4"/>
        <w:spacing w:before="156" w:beforeLines="50" w:line="400" w:lineRule="exact"/>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（一）专业名称（中英文）：</w:t>
      </w:r>
      <w:r>
        <w:rPr>
          <w:rFonts w:hint="eastAsia" w:ascii="Times New Roman" w:hAnsi="Times New Roman" w:eastAsia="仿宋" w:cs="Times New Roman"/>
          <w:b/>
          <w:color w:val="000000"/>
          <w:sz w:val="24"/>
          <w:szCs w:val="24"/>
        </w:rPr>
        <w:t>健康服务与管理（</w:t>
      </w:r>
      <w:r>
        <w:rPr>
          <w:rFonts w:ascii="Times New Roman" w:hAnsi="Times New Roman" w:eastAsia="仿宋" w:cs="Times New Roman"/>
          <w:b/>
          <w:color w:val="000000"/>
          <w:sz w:val="24"/>
          <w:szCs w:val="24"/>
        </w:rPr>
        <w:t xml:space="preserve">Health Service </w:t>
      </w:r>
      <w:r>
        <w:rPr>
          <w:rFonts w:hint="eastAsia" w:ascii="Times New Roman" w:hAnsi="Times New Roman" w:eastAsia="仿宋" w:cs="Times New Roman"/>
          <w:b/>
          <w:color w:val="000000"/>
          <w:sz w:val="24"/>
          <w:szCs w:val="24"/>
        </w:rPr>
        <w:t>and</w:t>
      </w:r>
      <w:r>
        <w:rPr>
          <w:rFonts w:ascii="Times New Roman" w:hAnsi="Times New Roman" w:eastAsia="仿宋" w:cs="Times New Roman"/>
          <w:b/>
          <w:color w:val="000000"/>
          <w:sz w:val="24"/>
          <w:szCs w:val="24"/>
        </w:rPr>
        <w:t xml:space="preserve"> Management</w:t>
      </w:r>
      <w:r>
        <w:rPr>
          <w:rFonts w:hint="eastAsia" w:ascii="Times New Roman" w:hAnsi="Times New Roman" w:eastAsia="仿宋" w:cs="Times New Roman"/>
          <w:b/>
          <w:color w:val="000000"/>
          <w:sz w:val="24"/>
          <w:szCs w:val="24"/>
        </w:rPr>
        <w:t>）</w:t>
      </w:r>
    </w:p>
    <w:p>
      <w:pPr>
        <w:pStyle w:val="4"/>
        <w:spacing w:before="156" w:beforeLines="50" w:line="400" w:lineRule="exact"/>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（二）专业代码 ： 120410T</w:t>
      </w:r>
    </w:p>
    <w:p>
      <w:pPr>
        <w:pStyle w:val="4"/>
        <w:spacing w:before="156" w:beforeLines="50" w:line="400" w:lineRule="exact"/>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w:t>
      </w:r>
      <w:r>
        <w:rPr>
          <w:rFonts w:ascii="Times New Roman" w:hAnsi="Times New Roman" w:eastAsia="仿宋" w:cs="Times New Roman"/>
          <w:b/>
          <w:color w:val="000000"/>
          <w:sz w:val="24"/>
          <w:szCs w:val="24"/>
        </w:rPr>
        <w:t>三）学制：四年</w:t>
      </w:r>
    </w:p>
    <w:p>
      <w:pPr>
        <w:spacing w:before="312" w:beforeLines="100"/>
        <w:rPr>
          <w:b/>
          <w:bCs/>
          <w:color w:val="000000"/>
          <w:sz w:val="28"/>
          <w:szCs w:val="28"/>
        </w:rPr>
      </w:pPr>
      <w:r>
        <w:rPr>
          <w:b/>
          <w:bCs/>
          <w:color w:val="000000"/>
          <w:sz w:val="28"/>
          <w:szCs w:val="28"/>
        </w:rPr>
        <w:t>二、培养目标和培养规格</w:t>
      </w:r>
    </w:p>
    <w:p>
      <w:pPr>
        <w:rPr>
          <w:rFonts w:eastAsia="仿宋"/>
          <w:b/>
          <w:bCs/>
          <w:color w:val="000000"/>
          <w:sz w:val="24"/>
        </w:rPr>
      </w:pPr>
      <w:r>
        <w:rPr>
          <w:rFonts w:eastAsia="仿宋"/>
          <w:b/>
          <w:bCs/>
          <w:color w:val="000000"/>
          <w:sz w:val="24"/>
        </w:rPr>
        <w:t>（一）培养目标</w:t>
      </w:r>
    </w:p>
    <w:p>
      <w:pPr>
        <w:spacing w:line="400" w:lineRule="exact"/>
        <w:ind w:left="420" w:firstLine="420" w:firstLineChars="200"/>
        <w:rPr>
          <w:rFonts w:hAnsi="宋体"/>
          <w:color w:val="000000"/>
        </w:rPr>
      </w:pPr>
      <w:r>
        <w:rPr>
          <w:rFonts w:hAnsi="宋体"/>
          <w:color w:val="000000"/>
        </w:rPr>
        <w:t>本专业培养适应健康中国发展和中西医并重战略需要，德智体美劳全面发展，具有良好的人文、科学素养，掌握健康服务与管理的理论、技术与方法，具备健康状态评估、健康风险预测、健康行为干预等健康服务技能，具有良好的服务精神和创新精神、自主学习能力、较强的管理技能和沟通协作能力，毕业后能够在各级卫生与健康行政管理部门、医疗卫生机构、社区健康服务机构、医养结合机构、健康管理机构、健康保险机构等单位从事健康管理、教育、咨询、市场和营销等工作的复合型应用人才。</w:t>
      </w:r>
    </w:p>
    <w:p>
      <w:pPr>
        <w:pStyle w:val="4"/>
        <w:spacing w:before="156" w:beforeLines="50" w:line="400" w:lineRule="exact"/>
        <w:rPr>
          <w:rFonts w:ascii="Times New Roman" w:hAnsi="Times New Roman" w:eastAsia="仿宋" w:cs="Times New Roman"/>
          <w:b/>
          <w:color w:val="000000"/>
          <w:sz w:val="24"/>
          <w:szCs w:val="24"/>
        </w:rPr>
      </w:pPr>
      <w:r>
        <w:rPr>
          <w:rFonts w:eastAsia="仿宋"/>
          <w:b/>
          <w:bCs w:val="0"/>
          <w:color w:val="000000"/>
          <w:sz w:val="24"/>
        </w:rPr>
        <w:t>（</w:t>
      </w:r>
      <w:r>
        <w:rPr>
          <w:rFonts w:hint="eastAsia" w:eastAsia="仿宋"/>
          <w:b/>
          <w:bCs w:val="0"/>
          <w:color w:val="000000"/>
          <w:sz w:val="24"/>
        </w:rPr>
        <w:t>二</w:t>
      </w:r>
      <w:r>
        <w:rPr>
          <w:rFonts w:eastAsia="仿宋"/>
          <w:b/>
          <w:bCs w:val="0"/>
          <w:color w:val="000000"/>
          <w:sz w:val="24"/>
        </w:rPr>
        <w:t>）</w:t>
      </w:r>
      <w:r>
        <w:rPr>
          <w:rFonts w:ascii="Times New Roman" w:hAnsi="Times New Roman" w:eastAsia="仿宋" w:cs="Times New Roman"/>
          <w:b/>
          <w:color w:val="000000"/>
          <w:sz w:val="24"/>
          <w:szCs w:val="24"/>
        </w:rPr>
        <w:t>培养规格</w:t>
      </w:r>
    </w:p>
    <w:p>
      <w:pPr>
        <w:pStyle w:val="4"/>
        <w:spacing w:before="156" w:beforeLines="50" w:line="400" w:lineRule="exact"/>
        <w:ind w:firstLine="241" w:firstLineChars="1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1.知识要求</w:t>
      </w:r>
    </w:p>
    <w:p>
      <w:pPr>
        <w:widowControl/>
        <w:numPr>
          <w:ilvl w:val="0"/>
          <w:numId w:val="1"/>
        </w:numPr>
        <w:spacing w:line="400" w:lineRule="exact"/>
        <w:ind w:right="420" w:rightChars="200"/>
        <w:rPr>
          <w:color w:val="000000"/>
        </w:rPr>
      </w:pPr>
      <w:r>
        <w:rPr>
          <w:color w:val="000000"/>
        </w:rPr>
        <w:t>掌握思想政治理论知识和计算机、人文通识类知识；</w:t>
      </w:r>
    </w:p>
    <w:p>
      <w:pPr>
        <w:widowControl/>
        <w:numPr>
          <w:ilvl w:val="0"/>
          <w:numId w:val="1"/>
        </w:numPr>
        <w:spacing w:line="400" w:lineRule="exact"/>
        <w:ind w:right="420" w:rightChars="200"/>
        <w:rPr>
          <w:color w:val="000000"/>
        </w:rPr>
      </w:pPr>
      <w:r>
        <w:rPr>
          <w:color w:val="000000"/>
        </w:rPr>
        <w:t xml:space="preserve">掌握公共管理学科基础与专业基础知识； </w:t>
      </w:r>
    </w:p>
    <w:p>
      <w:pPr>
        <w:widowControl/>
        <w:numPr>
          <w:ilvl w:val="0"/>
          <w:numId w:val="1"/>
        </w:numPr>
        <w:spacing w:line="400" w:lineRule="exact"/>
        <w:ind w:right="420" w:rightChars="200"/>
        <w:rPr>
          <w:color w:val="000000"/>
        </w:rPr>
      </w:pPr>
      <w:r>
        <w:rPr>
          <w:color w:val="000000"/>
        </w:rPr>
        <w:t xml:space="preserve">掌握健康管理、健康教育、健康促进、健康咨询等方面的专业知识； </w:t>
      </w:r>
    </w:p>
    <w:p>
      <w:pPr>
        <w:widowControl/>
        <w:numPr>
          <w:ilvl w:val="0"/>
          <w:numId w:val="1"/>
        </w:numPr>
        <w:spacing w:line="400" w:lineRule="exact"/>
        <w:ind w:right="420" w:rightChars="200"/>
        <w:rPr>
          <w:color w:val="000000"/>
        </w:rPr>
      </w:pPr>
      <w:r>
        <w:rPr>
          <w:color w:val="000000"/>
        </w:rPr>
        <w:t>掌握中医“治未病”理论、中医养生学理论、技术与方法；</w:t>
      </w:r>
    </w:p>
    <w:p>
      <w:pPr>
        <w:widowControl/>
        <w:numPr>
          <w:ilvl w:val="0"/>
          <w:numId w:val="1"/>
        </w:numPr>
        <w:spacing w:line="400" w:lineRule="exact"/>
        <w:ind w:right="420" w:rightChars="200"/>
        <w:rPr>
          <w:color w:val="000000"/>
        </w:rPr>
      </w:pPr>
      <w:r>
        <w:rPr>
          <w:color w:val="000000"/>
        </w:rPr>
        <w:t>熟悉信息技术在健康管理中的应用进展；</w:t>
      </w:r>
    </w:p>
    <w:p>
      <w:pPr>
        <w:widowControl/>
        <w:numPr>
          <w:ilvl w:val="0"/>
          <w:numId w:val="1"/>
        </w:numPr>
        <w:spacing w:line="400" w:lineRule="exact"/>
        <w:ind w:right="420" w:rightChars="200"/>
        <w:rPr>
          <w:color w:val="000000"/>
        </w:rPr>
      </w:pPr>
      <w:r>
        <w:rPr>
          <w:color w:val="000000"/>
        </w:rPr>
        <w:t>了解预防医学、临床医学、中医学、心理学等相关学科基础知识；熟悉卫生事业管理、卫生法规等知识 ；</w:t>
      </w:r>
    </w:p>
    <w:p>
      <w:pPr>
        <w:pStyle w:val="4"/>
        <w:spacing w:line="360" w:lineRule="auto"/>
        <w:ind w:firstLine="241" w:firstLineChars="1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2.能力要求</w:t>
      </w:r>
    </w:p>
    <w:p>
      <w:pPr>
        <w:widowControl/>
        <w:numPr>
          <w:ilvl w:val="0"/>
          <w:numId w:val="2"/>
        </w:numPr>
        <w:spacing w:line="400" w:lineRule="exact"/>
        <w:ind w:right="420" w:rightChars="200"/>
        <w:rPr>
          <w:color w:val="000000"/>
        </w:rPr>
      </w:pPr>
      <w:r>
        <w:rPr>
          <w:color w:val="000000"/>
        </w:rPr>
        <w:t>公共管理核心能力：具备决策、计划、组织、协调与沟通能力、管理服务能力、应急管理能力、团队合作能力、调查研究能力、信息处理能力、表达能力；</w:t>
      </w:r>
    </w:p>
    <w:p>
      <w:pPr>
        <w:widowControl/>
        <w:numPr>
          <w:ilvl w:val="0"/>
          <w:numId w:val="2"/>
        </w:numPr>
        <w:spacing w:line="400" w:lineRule="exact"/>
        <w:ind w:right="420" w:rightChars="200"/>
        <w:rPr>
          <w:color w:val="000000"/>
        </w:rPr>
      </w:pPr>
      <w:r>
        <w:rPr>
          <w:color w:val="000000"/>
        </w:rPr>
        <w:t>健康管理专业能力：具有运用中西医理论评估健康状态，分析健康风险因素，实施健康行为干预的能力；</w:t>
      </w:r>
    </w:p>
    <w:p>
      <w:pPr>
        <w:widowControl/>
        <w:numPr>
          <w:ilvl w:val="0"/>
          <w:numId w:val="2"/>
        </w:numPr>
        <w:spacing w:line="400" w:lineRule="exact"/>
        <w:ind w:right="420" w:rightChars="200"/>
        <w:rPr>
          <w:color w:val="000000"/>
        </w:rPr>
      </w:pPr>
      <w:r>
        <w:rPr>
          <w:color w:val="000000"/>
        </w:rPr>
        <w:t>具有健康教育、健康咨询、健康促进等管理能力；</w:t>
      </w:r>
    </w:p>
    <w:p>
      <w:pPr>
        <w:widowControl/>
        <w:numPr>
          <w:ilvl w:val="0"/>
          <w:numId w:val="2"/>
        </w:numPr>
        <w:spacing w:line="400" w:lineRule="exact"/>
        <w:ind w:right="420" w:rightChars="200"/>
        <w:rPr>
          <w:color w:val="000000"/>
        </w:rPr>
      </w:pPr>
      <w:r>
        <w:rPr>
          <w:color w:val="000000"/>
        </w:rPr>
        <w:t>具有调查研究、文献检索、统计分析等能力；</w:t>
      </w:r>
    </w:p>
    <w:p>
      <w:pPr>
        <w:widowControl/>
        <w:numPr>
          <w:ilvl w:val="0"/>
          <w:numId w:val="2"/>
        </w:numPr>
        <w:spacing w:line="400" w:lineRule="exact"/>
        <w:jc w:val="left"/>
        <w:rPr>
          <w:color w:val="000000"/>
        </w:rPr>
      </w:pPr>
      <w:r>
        <w:rPr>
          <w:color w:val="000000"/>
        </w:rPr>
        <w:t>具有创新创业能力，具备创新创业意识。</w:t>
      </w:r>
    </w:p>
    <w:p>
      <w:pPr>
        <w:pStyle w:val="4"/>
        <w:spacing w:line="360" w:lineRule="auto"/>
        <w:ind w:firstLine="241" w:firstLineChars="100"/>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3.</w:t>
      </w:r>
      <w:r>
        <w:rPr>
          <w:rFonts w:ascii="Times New Roman" w:hAnsi="Times New Roman" w:eastAsia="仿宋" w:cs="Times New Roman"/>
          <w:b/>
          <w:color w:val="000000"/>
          <w:sz w:val="24"/>
          <w:szCs w:val="24"/>
        </w:rPr>
        <w:t>素质</w:t>
      </w:r>
      <w:r>
        <w:rPr>
          <w:rFonts w:hint="eastAsia" w:ascii="Times New Roman" w:hAnsi="Times New Roman" w:eastAsia="仿宋" w:cs="Times New Roman"/>
          <w:b/>
          <w:color w:val="000000"/>
          <w:sz w:val="24"/>
          <w:szCs w:val="24"/>
        </w:rPr>
        <w:t>要求</w:t>
      </w:r>
      <w:r>
        <w:rPr>
          <w:rFonts w:ascii="Times New Roman" w:hAnsi="Times New Roman" w:eastAsia="仿宋" w:cs="Times New Roman"/>
          <w:b/>
          <w:color w:val="000000"/>
          <w:sz w:val="24"/>
          <w:szCs w:val="24"/>
        </w:rPr>
        <w:t>：</w:t>
      </w:r>
    </w:p>
    <w:p>
      <w:pPr>
        <w:widowControl/>
        <w:numPr>
          <w:ilvl w:val="0"/>
          <w:numId w:val="3"/>
        </w:numPr>
        <w:spacing w:line="400" w:lineRule="exact"/>
        <w:rPr>
          <w:color w:val="000000"/>
        </w:rPr>
      </w:pPr>
      <w:r>
        <w:rPr>
          <w:color w:val="000000"/>
        </w:rPr>
        <w:t>热爱祖国，遵纪守法，拥护中国共产党领导，弘扬社会主义价值观；</w:t>
      </w:r>
    </w:p>
    <w:p>
      <w:pPr>
        <w:widowControl/>
        <w:numPr>
          <w:ilvl w:val="0"/>
          <w:numId w:val="3"/>
        </w:numPr>
        <w:spacing w:line="400" w:lineRule="exact"/>
        <w:rPr>
          <w:color w:val="000000"/>
        </w:rPr>
      </w:pPr>
      <w:r>
        <w:rPr>
          <w:color w:val="000000"/>
        </w:rPr>
        <w:t>高度的法治意识、公共精神、服务意识、社会责任感和人生态度；</w:t>
      </w:r>
    </w:p>
    <w:p>
      <w:pPr>
        <w:widowControl/>
        <w:numPr>
          <w:ilvl w:val="0"/>
          <w:numId w:val="3"/>
        </w:numPr>
        <w:spacing w:line="400" w:lineRule="exact"/>
        <w:rPr>
          <w:color w:val="000000"/>
        </w:rPr>
      </w:pPr>
      <w:r>
        <w:rPr>
          <w:color w:val="000000"/>
        </w:rPr>
        <w:t>健康的体魄、良好的心理和社会关系。</w:t>
      </w:r>
    </w:p>
    <w:p>
      <w:pPr>
        <w:widowControl/>
        <w:numPr>
          <w:ilvl w:val="0"/>
          <w:numId w:val="3"/>
        </w:numPr>
        <w:spacing w:line="400" w:lineRule="exact"/>
        <w:rPr>
          <w:color w:val="000000"/>
        </w:rPr>
      </w:pPr>
      <w:r>
        <w:rPr>
          <w:color w:val="000000"/>
        </w:rPr>
        <w:t>良好的人文素养、科学素养、生命价值观，良好的中国文化素养；</w:t>
      </w:r>
    </w:p>
    <w:p>
      <w:pPr>
        <w:widowControl/>
        <w:numPr>
          <w:ilvl w:val="0"/>
          <w:numId w:val="3"/>
        </w:numPr>
        <w:spacing w:line="400" w:lineRule="exact"/>
        <w:rPr>
          <w:color w:val="000000"/>
        </w:rPr>
      </w:pPr>
      <w:r>
        <w:rPr>
          <w:color w:val="000000"/>
        </w:rPr>
        <w:t>具有专业精神、专业思维、专业素质；具有创新精神。</w:t>
      </w:r>
    </w:p>
    <w:p>
      <w:pPr>
        <w:rPr>
          <w:b/>
          <w:bCs/>
          <w:color w:val="000000"/>
          <w:sz w:val="28"/>
          <w:szCs w:val="28"/>
        </w:rPr>
      </w:pPr>
      <w:r>
        <w:rPr>
          <w:b/>
          <w:bCs/>
          <w:color w:val="000000"/>
          <w:sz w:val="28"/>
          <w:szCs w:val="28"/>
        </w:rPr>
        <w:t>三、专业主干课程</w:t>
      </w:r>
    </w:p>
    <w:p>
      <w:pPr>
        <w:spacing w:line="400" w:lineRule="exact"/>
        <w:ind w:left="315" w:leftChars="150" w:right="525" w:rightChars="250" w:firstLine="420" w:firstLineChars="200"/>
        <w:rPr>
          <w:color w:val="000000"/>
        </w:rPr>
      </w:pPr>
      <w:r>
        <w:rPr>
          <w:color w:val="000000"/>
        </w:rPr>
        <w:t>根据高等学校本科专业《公共管理类教学质量国家标准》，课程体系包括思想政治理论课程、通识类课程、专业类课程和实践课程。</w:t>
      </w:r>
    </w:p>
    <w:p>
      <w:pPr>
        <w:spacing w:line="400" w:lineRule="exact"/>
        <w:ind w:left="315" w:leftChars="150" w:right="525" w:rightChars="250" w:firstLine="420" w:firstLineChars="200"/>
        <w:rPr>
          <w:color w:val="000000"/>
        </w:rPr>
      </w:pPr>
      <w:r>
        <w:rPr>
          <w:color w:val="000000"/>
        </w:rPr>
        <w:t>专业类课程分为专业必修课和专业选修课。</w:t>
      </w:r>
    </w:p>
    <w:p>
      <w:pPr>
        <w:pStyle w:val="28"/>
        <w:widowControl/>
        <w:spacing w:before="156" w:beforeLines="50" w:after="156" w:afterLines="50" w:line="360" w:lineRule="auto"/>
        <w:ind w:firstLine="482"/>
        <w:rPr>
          <w:rFonts w:ascii="仿宋" w:hAnsi="仿宋" w:eastAsia="仿宋" w:cs="Arial"/>
          <w:b/>
          <w:bCs/>
        </w:rPr>
      </w:pPr>
      <w:r>
        <w:rPr>
          <w:rFonts w:hint="eastAsia" w:ascii="仿宋" w:hAnsi="仿宋" w:eastAsia="仿宋" w:cs="Arial"/>
          <w:b/>
          <w:bCs/>
        </w:rPr>
        <w:t>1.</w:t>
      </w:r>
      <w:r>
        <w:rPr>
          <w:rFonts w:ascii="仿宋" w:hAnsi="仿宋" w:eastAsia="仿宋" w:cs="Arial"/>
          <w:b/>
          <w:bCs/>
        </w:rPr>
        <w:t xml:space="preserve"> </w:t>
      </w:r>
      <w:r>
        <w:rPr>
          <w:rFonts w:hint="eastAsia" w:ascii="仿宋" w:hAnsi="仿宋" w:eastAsia="仿宋" w:cs="Arial"/>
          <w:b/>
          <w:bCs/>
        </w:rPr>
        <w:t>专业必修课</w:t>
      </w:r>
    </w:p>
    <w:p>
      <w:pPr>
        <w:pStyle w:val="9"/>
        <w:spacing w:before="156" w:beforeLines="50" w:beforeAutospacing="0" w:after="156" w:afterLines="50" w:afterAutospacing="0" w:line="400" w:lineRule="exact"/>
        <w:ind w:firstLine="723" w:firstLineChars="300"/>
        <w:jc w:val="both"/>
        <w:rPr>
          <w:rFonts w:hint="eastAsia" w:ascii="Times New Roman" w:hAnsi="Times New Roman" w:eastAsia="仿宋" w:cs="Times New Roman"/>
          <w:b/>
          <w:bCs/>
          <w:color w:val="000000"/>
          <w:kern w:val="2"/>
        </w:rPr>
      </w:pPr>
      <w:r>
        <w:rPr>
          <w:rFonts w:hint="eastAsia" w:ascii="楷体" w:hAnsi="楷体" w:eastAsia="楷体" w:cs="Times New Roman"/>
          <w:b/>
          <w:bCs/>
          <w:color w:val="000000"/>
          <w:kern w:val="2"/>
        </w:rPr>
        <w:t>涵盖</w:t>
      </w:r>
      <w:r>
        <w:rPr>
          <w:rFonts w:ascii="楷体" w:hAnsi="楷体" w:eastAsia="楷体" w:cs="Times New Roman"/>
          <w:b/>
          <w:bCs/>
          <w:color w:val="000000"/>
          <w:kern w:val="2"/>
        </w:rPr>
        <w:t>学科基础课程</w:t>
      </w:r>
      <w:r>
        <w:rPr>
          <w:rFonts w:hint="eastAsia" w:ascii="楷体" w:hAnsi="楷体" w:eastAsia="楷体" w:cs="Times New Roman"/>
          <w:b/>
          <w:bCs/>
          <w:color w:val="000000"/>
          <w:kern w:val="2"/>
        </w:rPr>
        <w:t>、</w:t>
      </w:r>
      <w:r>
        <w:rPr>
          <w:rFonts w:ascii="楷体" w:hAnsi="楷体" w:eastAsia="楷体" w:cs="Times New Roman"/>
          <w:b/>
          <w:bCs/>
          <w:color w:val="000000"/>
          <w:kern w:val="2"/>
        </w:rPr>
        <w:t>专业基础课程</w:t>
      </w:r>
      <w:r>
        <w:rPr>
          <w:rFonts w:hint="eastAsia" w:ascii="楷体" w:hAnsi="楷体" w:eastAsia="楷体" w:cs="Times New Roman"/>
          <w:b/>
          <w:bCs/>
          <w:color w:val="000000"/>
          <w:kern w:val="2"/>
        </w:rPr>
        <w:t>和专业课程等，并凝练为专业核心课程和专业方向课程两大模块。</w:t>
      </w:r>
    </w:p>
    <w:p>
      <w:pPr>
        <w:pStyle w:val="28"/>
        <w:widowControl/>
        <w:spacing w:line="360" w:lineRule="auto"/>
        <w:ind w:firstLine="482"/>
        <w:rPr>
          <w:rFonts w:ascii="仿宋" w:hAnsi="仿宋" w:eastAsia="仿宋" w:cs="Arial"/>
          <w:b/>
          <w:bCs/>
        </w:rPr>
      </w:pPr>
      <w:r>
        <w:rPr>
          <w:rFonts w:hint="eastAsia" w:ascii="仿宋" w:hAnsi="仿宋" w:eastAsia="仿宋" w:cs="Arial"/>
          <w:b/>
          <w:bCs/>
        </w:rPr>
        <w:t>（1）专业核心课程（8门，2</w:t>
      </w:r>
      <w:r>
        <w:rPr>
          <w:rFonts w:ascii="仿宋" w:hAnsi="仿宋" w:eastAsia="仿宋" w:cs="Arial"/>
          <w:b/>
          <w:bCs/>
        </w:rPr>
        <w:t>4</w:t>
      </w:r>
      <w:r>
        <w:rPr>
          <w:rFonts w:hint="eastAsia" w:ascii="仿宋" w:hAnsi="仿宋" w:eastAsia="仿宋" w:cs="Arial"/>
          <w:b/>
          <w:bCs/>
        </w:rPr>
        <w:t>学分）：</w:t>
      </w:r>
    </w:p>
    <w:p>
      <w:pPr>
        <w:pStyle w:val="9"/>
        <w:spacing w:before="0" w:beforeAutospacing="0" w:after="0" w:afterAutospacing="0" w:line="400" w:lineRule="exact"/>
        <w:ind w:firstLine="420" w:firstLineChars="200"/>
        <w:jc w:val="both"/>
        <w:rPr>
          <w:rFonts w:ascii="Arial" w:hAnsi="Arial" w:cs="Arial"/>
          <w:sz w:val="21"/>
          <w:szCs w:val="21"/>
        </w:rPr>
      </w:pPr>
      <w:r>
        <w:rPr>
          <w:rFonts w:ascii="Arial" w:hAnsi="Arial" w:cs="Arial"/>
          <w:sz w:val="21"/>
          <w:szCs w:val="21"/>
        </w:rPr>
        <w:t>管理学原理、公共管理导论、健康管理学、健康保险学</w:t>
      </w:r>
      <w:r>
        <w:rPr>
          <w:rFonts w:hint="eastAsia" w:ascii="Arial" w:hAnsi="Arial" w:cs="Arial"/>
          <w:sz w:val="21"/>
          <w:szCs w:val="21"/>
        </w:rPr>
        <w:t>、</w:t>
      </w:r>
      <w:r>
        <w:rPr>
          <w:rFonts w:ascii="Arial" w:hAnsi="Arial" w:cs="Arial"/>
          <w:sz w:val="21"/>
          <w:szCs w:val="21"/>
        </w:rPr>
        <w:t>健康信息管理</w:t>
      </w:r>
      <w:r>
        <w:rPr>
          <w:rFonts w:hint="eastAsia" w:ascii="Arial" w:hAnsi="Arial" w:cs="Arial"/>
          <w:sz w:val="21"/>
          <w:szCs w:val="21"/>
        </w:rPr>
        <w:t>、</w:t>
      </w:r>
      <w:r>
        <w:rPr>
          <w:rFonts w:ascii="Arial" w:hAnsi="Arial" w:cs="Arial"/>
          <w:sz w:val="21"/>
          <w:szCs w:val="21"/>
        </w:rPr>
        <w:t>社会学概论</w:t>
      </w:r>
      <w:r>
        <w:rPr>
          <w:rFonts w:hint="eastAsia" w:ascii="Arial" w:hAnsi="Arial" w:cs="Arial"/>
          <w:sz w:val="21"/>
          <w:szCs w:val="21"/>
        </w:rPr>
        <w:t>、大数据分析与应用</w:t>
      </w:r>
      <w:r>
        <w:rPr>
          <w:rFonts w:ascii="Arial" w:hAnsi="Arial" w:cs="Arial"/>
          <w:sz w:val="21"/>
          <w:szCs w:val="21"/>
        </w:rPr>
        <w:t>、</w:t>
      </w:r>
      <w:r>
        <w:rPr>
          <w:rFonts w:hint="eastAsia" w:ascii="Arial" w:hAnsi="Arial" w:cs="Arial"/>
          <w:sz w:val="21"/>
          <w:szCs w:val="21"/>
        </w:rPr>
        <w:t>医学</w:t>
      </w:r>
      <w:r>
        <w:rPr>
          <w:rFonts w:ascii="Arial" w:hAnsi="Arial" w:cs="Arial"/>
          <w:sz w:val="21"/>
          <w:szCs w:val="21"/>
        </w:rPr>
        <w:t>伦理学</w:t>
      </w:r>
      <w:r>
        <w:rPr>
          <w:rFonts w:hint="eastAsia" w:ascii="Arial" w:hAnsi="Arial" w:cs="Arial"/>
          <w:sz w:val="21"/>
          <w:szCs w:val="21"/>
        </w:rPr>
        <w:t>。</w:t>
      </w:r>
    </w:p>
    <w:p>
      <w:pPr>
        <w:pStyle w:val="9"/>
        <w:spacing w:before="0" w:beforeAutospacing="0" w:after="0" w:afterAutospacing="0" w:line="400" w:lineRule="exact"/>
        <w:ind w:firstLine="482" w:firstLineChars="200"/>
        <w:jc w:val="both"/>
        <w:rPr>
          <w:rFonts w:ascii="仿宋" w:hAnsi="仿宋" w:eastAsia="仿宋" w:cs="Arial"/>
          <w:b/>
          <w:bCs/>
        </w:rPr>
      </w:pPr>
      <w:r>
        <w:rPr>
          <w:rFonts w:hint="eastAsia" w:ascii="仿宋" w:hAnsi="仿宋" w:eastAsia="仿宋" w:cs="Arial"/>
          <w:b/>
          <w:bCs/>
        </w:rPr>
        <w:t>（2）</w:t>
      </w:r>
      <w:r>
        <w:rPr>
          <w:rFonts w:ascii="仿宋" w:hAnsi="仿宋" w:eastAsia="仿宋" w:cs="Arial"/>
          <w:b/>
          <w:bCs/>
        </w:rPr>
        <w:t>专业</w:t>
      </w:r>
      <w:r>
        <w:rPr>
          <w:rFonts w:hint="eastAsia" w:ascii="仿宋" w:hAnsi="仿宋" w:eastAsia="仿宋" w:cs="Arial"/>
          <w:b/>
          <w:bCs/>
        </w:rPr>
        <w:t>方向</w:t>
      </w:r>
      <w:r>
        <w:rPr>
          <w:rFonts w:ascii="仿宋" w:hAnsi="仿宋" w:eastAsia="仿宋" w:cs="Arial"/>
          <w:b/>
          <w:bCs/>
        </w:rPr>
        <w:t>课程</w:t>
      </w:r>
      <w:r>
        <w:rPr>
          <w:rFonts w:hint="eastAsia" w:ascii="仿宋" w:hAnsi="仿宋" w:eastAsia="仿宋" w:cs="Arial"/>
          <w:b/>
          <w:bCs/>
        </w:rPr>
        <w:t>（</w:t>
      </w:r>
      <w:r>
        <w:rPr>
          <w:rFonts w:ascii="仿宋" w:hAnsi="仿宋" w:eastAsia="仿宋" w:cs="Arial"/>
          <w:b/>
          <w:bCs/>
        </w:rPr>
        <w:t>9</w:t>
      </w:r>
      <w:r>
        <w:rPr>
          <w:rFonts w:hint="eastAsia" w:ascii="仿宋" w:hAnsi="仿宋" w:eastAsia="仿宋" w:cs="Arial"/>
          <w:b/>
          <w:bCs/>
        </w:rPr>
        <w:t>门，2</w:t>
      </w:r>
      <w:r>
        <w:rPr>
          <w:rFonts w:ascii="仿宋" w:hAnsi="仿宋" w:eastAsia="仿宋" w:cs="Arial"/>
          <w:b/>
          <w:bCs/>
        </w:rPr>
        <w:t>5</w:t>
      </w:r>
      <w:r>
        <w:rPr>
          <w:rFonts w:hint="eastAsia" w:ascii="仿宋" w:hAnsi="仿宋" w:eastAsia="仿宋" w:cs="Arial"/>
          <w:b/>
          <w:bCs/>
        </w:rPr>
        <w:t>学分）</w:t>
      </w:r>
      <w:r>
        <w:rPr>
          <w:rFonts w:ascii="仿宋" w:hAnsi="仿宋" w:eastAsia="仿宋" w:cs="Arial"/>
          <w:b/>
          <w:bCs/>
        </w:rPr>
        <w:t>：</w:t>
      </w:r>
    </w:p>
    <w:p>
      <w:pPr>
        <w:pStyle w:val="9"/>
        <w:spacing w:before="0" w:beforeAutospacing="0" w:after="0" w:afterAutospacing="0" w:line="400" w:lineRule="exact"/>
        <w:ind w:firstLine="420" w:firstLineChars="200"/>
        <w:jc w:val="both"/>
        <w:rPr>
          <w:rFonts w:hint="eastAsia" w:ascii="Arial" w:hAnsi="Arial" w:cs="Arial"/>
          <w:sz w:val="21"/>
          <w:szCs w:val="21"/>
        </w:rPr>
      </w:pPr>
      <w:r>
        <w:rPr>
          <w:rFonts w:ascii="Arial" w:hAnsi="Arial" w:cs="Arial"/>
          <w:sz w:val="21"/>
          <w:szCs w:val="21"/>
        </w:rPr>
        <w:t>社会医学、预防医学、临床医学基础（诊断学、医技）、中医学（双语）</w:t>
      </w:r>
      <w:r>
        <w:rPr>
          <w:rFonts w:hint="eastAsia" w:ascii="Arial" w:hAnsi="Arial" w:cs="Arial"/>
          <w:sz w:val="21"/>
          <w:szCs w:val="21"/>
        </w:rPr>
        <w:t>、</w:t>
      </w:r>
      <w:r>
        <w:rPr>
          <w:rFonts w:ascii="Arial" w:hAnsi="Arial" w:cs="Arial"/>
          <w:sz w:val="21"/>
          <w:szCs w:val="21"/>
        </w:rPr>
        <w:t>政治学原理、民</w:t>
      </w:r>
      <w:r>
        <w:rPr>
          <w:rFonts w:hint="eastAsia" w:ascii="Arial" w:hAnsi="Arial" w:cs="Arial"/>
          <w:sz w:val="21"/>
          <w:szCs w:val="21"/>
        </w:rPr>
        <w:t>商法</w:t>
      </w:r>
      <w:r>
        <w:rPr>
          <w:rFonts w:ascii="Arial" w:hAnsi="Arial" w:cs="Arial"/>
          <w:sz w:val="21"/>
          <w:szCs w:val="21"/>
        </w:rPr>
        <w:t>、经济学</w:t>
      </w:r>
      <w:r>
        <w:rPr>
          <w:rFonts w:hint="eastAsia" w:ascii="Arial" w:hAnsi="Arial" w:cs="Arial"/>
          <w:sz w:val="21"/>
          <w:szCs w:val="21"/>
        </w:rPr>
        <w:t>原理</w:t>
      </w:r>
      <w:r>
        <w:rPr>
          <w:rFonts w:ascii="Arial" w:hAnsi="Arial" w:cs="Arial"/>
          <w:sz w:val="21"/>
          <w:szCs w:val="21"/>
        </w:rPr>
        <w:t>、健康经济学</w:t>
      </w:r>
      <w:r>
        <w:rPr>
          <w:rFonts w:hint="eastAsia" w:ascii="Arial" w:hAnsi="Arial" w:cs="Arial"/>
          <w:sz w:val="21"/>
          <w:szCs w:val="21"/>
        </w:rPr>
        <w:t>、健康管理与创新创业。</w:t>
      </w:r>
    </w:p>
    <w:p>
      <w:pPr>
        <w:pStyle w:val="9"/>
        <w:spacing w:before="156" w:beforeLines="50" w:beforeAutospacing="0" w:after="156" w:afterLines="50" w:afterAutospacing="0" w:line="400" w:lineRule="exact"/>
        <w:ind w:firstLine="482" w:firstLineChars="200"/>
        <w:jc w:val="both"/>
        <w:rPr>
          <w:rFonts w:ascii="仿宋" w:hAnsi="仿宋" w:eastAsia="仿宋" w:cs="Arial"/>
          <w:b/>
          <w:bCs/>
        </w:rPr>
      </w:pPr>
      <w:r>
        <w:rPr>
          <w:rFonts w:hint="eastAsia" w:ascii="仿宋" w:hAnsi="仿宋" w:eastAsia="仿宋" w:cs="Arial"/>
          <w:b/>
          <w:bCs/>
        </w:rPr>
        <w:t>2.</w:t>
      </w:r>
      <w:r>
        <w:rPr>
          <w:rFonts w:ascii="仿宋" w:hAnsi="仿宋" w:eastAsia="仿宋" w:cs="Arial"/>
          <w:b/>
          <w:bCs/>
        </w:rPr>
        <w:t xml:space="preserve"> </w:t>
      </w:r>
      <w:r>
        <w:rPr>
          <w:rFonts w:hint="eastAsia" w:ascii="仿宋" w:hAnsi="仿宋" w:eastAsia="仿宋" w:cs="Arial"/>
          <w:b/>
          <w:bCs/>
        </w:rPr>
        <w:t>专业选修课</w:t>
      </w:r>
    </w:p>
    <w:p>
      <w:pPr>
        <w:pStyle w:val="9"/>
        <w:spacing w:before="0" w:beforeAutospacing="0" w:after="0" w:afterAutospacing="0" w:line="400" w:lineRule="exact"/>
        <w:ind w:firstLine="482" w:firstLineChars="200"/>
        <w:jc w:val="both"/>
        <w:rPr>
          <w:rFonts w:ascii="仿宋" w:hAnsi="仿宋" w:eastAsia="仿宋" w:cs="Arial"/>
          <w:b/>
          <w:bCs/>
        </w:rPr>
      </w:pPr>
      <w:r>
        <w:rPr>
          <w:rFonts w:hint="eastAsia" w:ascii="仿宋" w:hAnsi="仿宋" w:eastAsia="仿宋" w:cs="Arial"/>
          <w:b/>
          <w:bCs/>
        </w:rPr>
        <w:t>（1）专业指定选修课（</w:t>
      </w:r>
      <w:r>
        <w:rPr>
          <w:rFonts w:ascii="仿宋" w:hAnsi="仿宋" w:eastAsia="仿宋" w:cs="Arial"/>
          <w:b/>
          <w:bCs/>
        </w:rPr>
        <w:t>2</w:t>
      </w:r>
      <w:r>
        <w:rPr>
          <w:rFonts w:hint="eastAsia" w:ascii="仿宋" w:hAnsi="仿宋" w:eastAsia="仿宋" w:cs="Arial"/>
          <w:b/>
          <w:bCs/>
        </w:rPr>
        <w:t>门，4学分）</w:t>
      </w:r>
    </w:p>
    <w:p>
      <w:pPr>
        <w:pStyle w:val="9"/>
        <w:spacing w:before="0" w:beforeAutospacing="0" w:after="0" w:afterAutospacing="0" w:line="400" w:lineRule="exact"/>
        <w:ind w:firstLine="630" w:firstLineChars="300"/>
        <w:jc w:val="both"/>
        <w:rPr>
          <w:rFonts w:ascii="Arial" w:hAnsi="Arial" w:cs="Arial"/>
          <w:sz w:val="21"/>
          <w:szCs w:val="21"/>
        </w:rPr>
      </w:pPr>
      <w:r>
        <w:rPr>
          <w:rFonts w:hint="eastAsia" w:ascii="Arial" w:hAnsi="Arial" w:cs="Arial"/>
          <w:sz w:val="21"/>
          <w:szCs w:val="21"/>
        </w:rPr>
        <w:t>大学人文基础、计算机应用基础。</w:t>
      </w:r>
    </w:p>
    <w:p>
      <w:pPr>
        <w:pStyle w:val="9"/>
        <w:spacing w:before="0" w:beforeAutospacing="0" w:after="0" w:afterAutospacing="0" w:line="400" w:lineRule="exact"/>
        <w:ind w:firstLine="482" w:firstLineChars="200"/>
        <w:jc w:val="both"/>
        <w:rPr>
          <w:rFonts w:ascii="仿宋" w:hAnsi="仿宋" w:eastAsia="仿宋" w:cs="Arial"/>
          <w:b/>
          <w:bCs/>
        </w:rPr>
      </w:pPr>
      <w:r>
        <w:rPr>
          <w:rFonts w:hint="eastAsia" w:ascii="仿宋" w:hAnsi="仿宋" w:eastAsia="仿宋" w:cs="Arial"/>
          <w:b/>
          <w:bCs/>
        </w:rPr>
        <w:t>（2）专业任意选修课（</w:t>
      </w:r>
      <w:r>
        <w:rPr>
          <w:rFonts w:ascii="仿宋" w:hAnsi="仿宋" w:eastAsia="仿宋" w:cs="Arial"/>
          <w:b/>
          <w:bCs/>
        </w:rPr>
        <w:t>18</w:t>
      </w:r>
      <w:r>
        <w:rPr>
          <w:rFonts w:hint="eastAsia" w:ascii="仿宋" w:hAnsi="仿宋" w:eastAsia="仿宋" w:cs="Arial"/>
          <w:b/>
          <w:bCs/>
        </w:rPr>
        <w:t>门可选，需完成3</w:t>
      </w:r>
      <w:r>
        <w:rPr>
          <w:rFonts w:ascii="仿宋" w:hAnsi="仿宋" w:eastAsia="仿宋" w:cs="Arial"/>
          <w:b/>
          <w:bCs/>
        </w:rPr>
        <w:t>0</w:t>
      </w:r>
      <w:r>
        <w:rPr>
          <w:rFonts w:hint="eastAsia" w:ascii="仿宋" w:hAnsi="仿宋" w:eastAsia="仿宋" w:cs="Arial"/>
          <w:b/>
          <w:bCs/>
        </w:rPr>
        <w:t>学分以上）</w:t>
      </w:r>
    </w:p>
    <w:p>
      <w:pPr>
        <w:pStyle w:val="9"/>
        <w:spacing w:before="0" w:beforeAutospacing="0" w:after="0" w:afterAutospacing="0" w:line="400" w:lineRule="exact"/>
        <w:ind w:right="731" w:rightChars="348" w:firstLine="424" w:firstLineChars="176"/>
        <w:jc w:val="both"/>
        <w:rPr>
          <w:rFonts w:hint="eastAsia" w:ascii="Times New Roman" w:hAnsi="Times New Roman" w:eastAsia="楷体" w:cs="Times New Roman"/>
          <w:b/>
          <w:bCs/>
        </w:rPr>
      </w:pPr>
      <w:r>
        <w:rPr>
          <w:rFonts w:ascii="Times New Roman" w:hAnsi="Times New Roman" w:eastAsia="楷体" w:cs="Times New Roman"/>
          <w:b/>
          <w:bCs/>
        </w:rPr>
        <w:t>选修课分为6个模块，每个模块2-4门课，涉及健康、养生、医学</w:t>
      </w:r>
      <w:r>
        <w:rPr>
          <w:rFonts w:hint="eastAsia" w:ascii="Times New Roman" w:hAnsi="Times New Roman" w:eastAsia="楷体" w:cs="Times New Roman"/>
          <w:b/>
          <w:bCs/>
        </w:rPr>
        <w:t>、</w:t>
      </w:r>
      <w:r>
        <w:rPr>
          <w:rFonts w:ascii="Times New Roman" w:hAnsi="Times New Roman" w:eastAsia="楷体" w:cs="Times New Roman"/>
          <w:b/>
          <w:bCs/>
        </w:rPr>
        <w:t>统计、艺术等相关专业知识。</w:t>
      </w:r>
    </w:p>
    <w:p>
      <w:pPr>
        <w:pStyle w:val="9"/>
        <w:numPr>
          <w:ilvl w:val="0"/>
          <w:numId w:val="4"/>
        </w:numPr>
        <w:spacing w:before="0" w:beforeAutospacing="0" w:after="0" w:afterAutospacing="0" w:line="400" w:lineRule="exact"/>
        <w:ind w:right="630" w:rightChars="300"/>
        <w:jc w:val="both"/>
        <w:rPr>
          <w:rFonts w:ascii="Times New Roman" w:hAnsi="Times New Roman" w:cs="Times New Roman"/>
          <w:sz w:val="21"/>
          <w:szCs w:val="21"/>
        </w:rPr>
      </w:pPr>
      <w:r>
        <w:rPr>
          <w:rFonts w:ascii="Times New Roman" w:hAnsi="Times New Roman" w:cs="Times New Roman"/>
          <w:sz w:val="21"/>
          <w:szCs w:val="21"/>
        </w:rPr>
        <w:t>健康心理学、健康运动学、健康营养学；</w:t>
      </w:r>
    </w:p>
    <w:p>
      <w:pPr>
        <w:pStyle w:val="9"/>
        <w:numPr>
          <w:ilvl w:val="0"/>
          <w:numId w:val="4"/>
        </w:numPr>
        <w:spacing w:before="0" w:beforeAutospacing="0" w:after="0" w:afterAutospacing="0" w:line="400" w:lineRule="exact"/>
        <w:ind w:right="630" w:rightChars="300"/>
        <w:jc w:val="both"/>
        <w:rPr>
          <w:rFonts w:ascii="Times New Roman" w:hAnsi="Times New Roman" w:cs="Times New Roman"/>
          <w:sz w:val="21"/>
          <w:szCs w:val="21"/>
        </w:rPr>
      </w:pPr>
      <w:r>
        <w:rPr>
          <w:rFonts w:ascii="Times New Roman" w:hAnsi="Times New Roman" w:cs="Times New Roman"/>
          <w:sz w:val="21"/>
          <w:szCs w:val="21"/>
        </w:rPr>
        <w:t>健康评估、健康教育与健康促进、健康管理与服务技能；</w:t>
      </w:r>
    </w:p>
    <w:p>
      <w:pPr>
        <w:pStyle w:val="9"/>
        <w:numPr>
          <w:ilvl w:val="0"/>
          <w:numId w:val="4"/>
        </w:numPr>
        <w:spacing w:before="0" w:beforeAutospacing="0" w:after="0" w:afterAutospacing="0" w:line="400" w:lineRule="exact"/>
        <w:ind w:right="630" w:rightChars="300"/>
        <w:jc w:val="both"/>
        <w:rPr>
          <w:rFonts w:ascii="Times New Roman" w:hAnsi="Times New Roman" w:cs="Times New Roman"/>
          <w:sz w:val="21"/>
          <w:szCs w:val="21"/>
        </w:rPr>
      </w:pPr>
      <w:r>
        <w:rPr>
          <w:rFonts w:ascii="Times New Roman" w:hAnsi="Times New Roman" w:cs="Times New Roman"/>
          <w:sz w:val="21"/>
          <w:szCs w:val="21"/>
        </w:rPr>
        <w:t>中医养生学、中医营养学、中医导引学、中医养生适宜技术；</w:t>
      </w:r>
    </w:p>
    <w:p>
      <w:pPr>
        <w:pStyle w:val="9"/>
        <w:numPr>
          <w:ilvl w:val="0"/>
          <w:numId w:val="4"/>
        </w:numPr>
        <w:spacing w:before="0" w:beforeAutospacing="0" w:after="0" w:afterAutospacing="0" w:line="400" w:lineRule="exact"/>
        <w:ind w:right="630" w:rightChars="300"/>
        <w:jc w:val="both"/>
        <w:rPr>
          <w:rFonts w:ascii="Times New Roman" w:hAnsi="Times New Roman" w:cs="Times New Roman"/>
          <w:sz w:val="21"/>
          <w:szCs w:val="21"/>
        </w:rPr>
      </w:pPr>
      <w:r>
        <w:rPr>
          <w:rFonts w:ascii="Times New Roman" w:hAnsi="Times New Roman" w:cs="Times New Roman"/>
          <w:sz w:val="21"/>
          <w:szCs w:val="21"/>
        </w:rPr>
        <w:t>卫生统计学、运筹学；</w:t>
      </w:r>
    </w:p>
    <w:p>
      <w:pPr>
        <w:pStyle w:val="9"/>
        <w:numPr>
          <w:ilvl w:val="0"/>
          <w:numId w:val="4"/>
        </w:numPr>
        <w:spacing w:before="0" w:beforeAutospacing="0" w:after="0" w:afterAutospacing="0" w:line="400" w:lineRule="exact"/>
        <w:ind w:right="630" w:rightChars="300"/>
        <w:jc w:val="both"/>
        <w:rPr>
          <w:rFonts w:ascii="Times New Roman" w:hAnsi="Times New Roman" w:cs="Times New Roman"/>
          <w:sz w:val="21"/>
          <w:szCs w:val="21"/>
        </w:rPr>
      </w:pPr>
      <w:r>
        <w:rPr>
          <w:rFonts w:ascii="Times New Roman" w:hAnsi="Times New Roman" w:cs="Times New Roman"/>
          <w:sz w:val="21"/>
          <w:szCs w:val="21"/>
        </w:rPr>
        <w:t>健康旅游学、艺术概论；</w:t>
      </w:r>
    </w:p>
    <w:p>
      <w:pPr>
        <w:pStyle w:val="9"/>
        <w:numPr>
          <w:ilvl w:val="0"/>
          <w:numId w:val="4"/>
        </w:numPr>
        <w:spacing w:before="0" w:beforeAutospacing="0" w:after="0" w:afterAutospacing="0" w:line="400" w:lineRule="exact"/>
        <w:ind w:right="630" w:rightChars="300"/>
        <w:jc w:val="both"/>
        <w:rPr>
          <w:rFonts w:ascii="Times New Roman" w:hAnsi="Times New Roman" w:cs="Times New Roman"/>
          <w:sz w:val="21"/>
          <w:szCs w:val="21"/>
        </w:rPr>
      </w:pPr>
      <w:r>
        <w:rPr>
          <w:sz w:val="21"/>
          <w:szCs w:val="21"/>
        </w:rPr>
        <w:t>人体解剖学、生理学、医学免疫学、医学微生物学。</w:t>
      </w:r>
      <w:bookmarkStart w:id="0" w:name="_GoBack"/>
      <w:bookmarkEnd w:id="0"/>
    </w:p>
    <w:p>
      <w:pPr>
        <w:spacing w:before="312" w:beforeLines="100"/>
        <w:rPr>
          <w:b/>
          <w:bCs/>
          <w:color w:val="000000"/>
          <w:sz w:val="28"/>
          <w:szCs w:val="28"/>
        </w:rPr>
      </w:pPr>
      <w:r>
        <w:rPr>
          <w:b/>
          <w:bCs/>
          <w:color w:val="000000"/>
          <w:sz w:val="28"/>
          <w:szCs w:val="28"/>
        </w:rPr>
        <w:t>四、主修专业毕业条件和学位授予</w:t>
      </w:r>
    </w:p>
    <w:p>
      <w:pPr>
        <w:pStyle w:val="4"/>
        <w:spacing w:line="400" w:lineRule="exact"/>
        <w:jc w:val="center"/>
        <w:rPr>
          <w:rFonts w:ascii="Times New Roman" w:hAnsi="Times New Roman" w:cs="Times New Roman"/>
          <w:b/>
          <w:bCs w:val="0"/>
          <w:sz w:val="24"/>
          <w:szCs w:val="24"/>
        </w:rPr>
      </w:pPr>
      <w:r>
        <w:rPr>
          <w:rFonts w:ascii="Times New Roman" w:hAnsi="Times New Roman" w:cs="Times New Roman"/>
          <w:b/>
          <w:bCs w:val="0"/>
          <w:sz w:val="24"/>
          <w:szCs w:val="24"/>
        </w:rPr>
        <w:t>毕业学分结构表</w:t>
      </w:r>
    </w:p>
    <w:tbl>
      <w:tblPr>
        <w:tblStyle w:val="11"/>
        <w:tblW w:w="0" w:type="auto"/>
        <w:tblInd w:w="0" w:type="dxa"/>
        <w:tblLayout w:type="fixed"/>
        <w:tblCellMar>
          <w:top w:w="15" w:type="dxa"/>
          <w:left w:w="15" w:type="dxa"/>
          <w:bottom w:w="15" w:type="dxa"/>
          <w:right w:w="15" w:type="dxa"/>
        </w:tblCellMar>
      </w:tblPr>
      <w:tblGrid>
        <w:gridCol w:w="1192"/>
        <w:gridCol w:w="796"/>
        <w:gridCol w:w="796"/>
        <w:gridCol w:w="796"/>
        <w:gridCol w:w="796"/>
        <w:gridCol w:w="1000"/>
        <w:gridCol w:w="1055"/>
        <w:gridCol w:w="796"/>
        <w:gridCol w:w="514"/>
        <w:gridCol w:w="595"/>
      </w:tblGrid>
      <w:tr>
        <w:tblPrEx>
          <w:tblCellMar>
            <w:top w:w="15" w:type="dxa"/>
            <w:left w:w="15" w:type="dxa"/>
            <w:bottom w:w="15" w:type="dxa"/>
            <w:right w:w="15" w:type="dxa"/>
          </w:tblCellMar>
        </w:tblPrEx>
        <w:trPr>
          <w:trHeight w:val="300" w:hRule="atLeast"/>
        </w:trPr>
        <w:tc>
          <w:tcPr>
            <w:tcW w:w="119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毕业总学分</w:t>
            </w:r>
          </w:p>
        </w:tc>
        <w:tc>
          <w:tcPr>
            <w:tcW w:w="159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公共教育</w:t>
            </w:r>
          </w:p>
        </w:tc>
        <w:tc>
          <w:tcPr>
            <w:tcW w:w="796"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楷体" w:hAnsi="楷体" w:eastAsia="楷体" w:cs="楷体"/>
                <w:b/>
                <w:bCs/>
                <w:color w:val="000000"/>
                <w:kern w:val="0"/>
                <w:sz w:val="22"/>
                <w:szCs w:val="22"/>
                <w:lang w:bidi="ar"/>
              </w:rPr>
            </w:pPr>
          </w:p>
        </w:tc>
        <w:tc>
          <w:tcPr>
            <w:tcW w:w="3647"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专业教育</w:t>
            </w:r>
          </w:p>
        </w:tc>
        <w:tc>
          <w:tcPr>
            <w:tcW w:w="11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成长教育</w:t>
            </w:r>
          </w:p>
        </w:tc>
      </w:tr>
      <w:tr>
        <w:tblPrEx>
          <w:tblCellMar>
            <w:top w:w="15" w:type="dxa"/>
            <w:left w:w="15" w:type="dxa"/>
            <w:bottom w:w="15" w:type="dxa"/>
            <w:right w:w="15" w:type="dxa"/>
          </w:tblCellMar>
        </w:tblPrEx>
        <w:trPr>
          <w:trHeight w:val="300" w:hRule="atLeast"/>
        </w:trPr>
        <w:tc>
          <w:tcPr>
            <w:tcW w:w="119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p>
        </w:tc>
        <w:tc>
          <w:tcPr>
            <w:tcW w:w="79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公共必修课</w:t>
            </w:r>
          </w:p>
        </w:tc>
        <w:tc>
          <w:tcPr>
            <w:tcW w:w="79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常规选修课</w:t>
            </w:r>
          </w:p>
        </w:tc>
        <w:tc>
          <w:tcPr>
            <w:tcW w:w="3647"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专业必修课</w:t>
            </w:r>
          </w:p>
        </w:tc>
        <w:tc>
          <w:tcPr>
            <w:tcW w:w="79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专业选修课</w:t>
            </w:r>
          </w:p>
        </w:tc>
        <w:tc>
          <w:tcPr>
            <w:tcW w:w="514"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成长必修课</w:t>
            </w:r>
          </w:p>
        </w:tc>
        <w:tc>
          <w:tcPr>
            <w:tcW w:w="595"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楷体" w:hAnsi="楷体" w:eastAsia="楷体" w:cs="楷体"/>
                <w:b/>
                <w:bCs/>
                <w:color w:val="000000"/>
                <w:kern w:val="0"/>
                <w:sz w:val="22"/>
                <w:szCs w:val="22"/>
                <w:lang w:bidi="ar"/>
              </w:rPr>
            </w:pPr>
            <w:r>
              <w:rPr>
                <w:rFonts w:hint="eastAsia" w:ascii="楷体" w:hAnsi="楷体" w:eastAsia="楷体" w:cs="楷体"/>
                <w:b/>
                <w:kern w:val="0"/>
                <w:sz w:val="22"/>
                <w:lang w:bidi="ar"/>
              </w:rPr>
              <w:t>学生成长教育课程</w:t>
            </w:r>
          </w:p>
        </w:tc>
      </w:tr>
      <w:tr>
        <w:tblPrEx>
          <w:tblCellMar>
            <w:top w:w="15" w:type="dxa"/>
            <w:left w:w="15" w:type="dxa"/>
            <w:bottom w:w="15" w:type="dxa"/>
            <w:right w:w="15" w:type="dxa"/>
          </w:tblCellMar>
        </w:tblPrEx>
        <w:trPr>
          <w:trHeight w:val="810" w:hRule="atLeast"/>
        </w:trPr>
        <w:tc>
          <w:tcPr>
            <w:tcW w:w="119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p>
        </w:tc>
        <w:tc>
          <w:tcPr>
            <w:tcW w:w="79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p>
        </w:tc>
        <w:tc>
          <w:tcPr>
            <w:tcW w:w="79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p>
        </w:tc>
        <w:tc>
          <w:tcPr>
            <w:tcW w:w="7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专业核心课</w:t>
            </w:r>
          </w:p>
        </w:tc>
        <w:tc>
          <w:tcPr>
            <w:tcW w:w="7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专业方向课</w:t>
            </w:r>
          </w:p>
        </w:tc>
        <w:tc>
          <w:tcPr>
            <w:tcW w:w="10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毕业论文/设计</w:t>
            </w:r>
          </w:p>
        </w:tc>
        <w:tc>
          <w:tcPr>
            <w:tcW w:w="1055"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楷体" w:hAnsi="楷体" w:eastAsia="楷体" w:cs="楷体"/>
                <w:b/>
                <w:bCs/>
                <w:color w:val="000000"/>
                <w:kern w:val="0"/>
                <w:sz w:val="22"/>
                <w:szCs w:val="22"/>
                <w:lang w:bidi="ar"/>
              </w:rPr>
            </w:pPr>
            <w:r>
              <w:rPr>
                <w:rFonts w:hint="eastAsia" w:ascii="楷体" w:hAnsi="楷体" w:eastAsia="楷体" w:cs="楷体"/>
                <w:b/>
                <w:bCs/>
                <w:color w:val="000000"/>
                <w:kern w:val="0"/>
                <w:sz w:val="22"/>
                <w:szCs w:val="22"/>
                <w:lang w:bidi="ar"/>
              </w:rPr>
              <w:t>劳动教育课</w:t>
            </w:r>
          </w:p>
        </w:tc>
        <w:tc>
          <w:tcPr>
            <w:tcW w:w="79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p>
        </w:tc>
        <w:tc>
          <w:tcPr>
            <w:tcW w:w="514"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p>
        </w:tc>
        <w:tc>
          <w:tcPr>
            <w:tcW w:w="595"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p>
        </w:tc>
      </w:tr>
      <w:tr>
        <w:tblPrEx>
          <w:tblCellMar>
            <w:top w:w="15" w:type="dxa"/>
            <w:left w:w="15" w:type="dxa"/>
            <w:bottom w:w="15" w:type="dxa"/>
            <w:right w:w="15" w:type="dxa"/>
          </w:tblCellMar>
        </w:tblPrEx>
        <w:trPr>
          <w:trHeight w:val="285" w:hRule="atLeast"/>
        </w:trPr>
        <w:tc>
          <w:tcPr>
            <w:tcW w:w="11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楷体" w:hAnsi="楷体" w:eastAsia="楷体" w:cs="楷体"/>
                <w:b/>
                <w:bCs/>
                <w:color w:val="000000"/>
                <w:kern w:val="0"/>
                <w:sz w:val="22"/>
                <w:szCs w:val="22"/>
                <w:lang w:val="en-US" w:eastAsia="zh-CN" w:bidi="ar"/>
              </w:rPr>
            </w:pPr>
            <w:r>
              <w:rPr>
                <w:rFonts w:ascii="楷体" w:hAnsi="楷体" w:eastAsia="楷体" w:cs="楷体"/>
                <w:b/>
                <w:bCs/>
                <w:color w:val="000000"/>
                <w:kern w:val="0"/>
                <w:sz w:val="22"/>
                <w:szCs w:val="22"/>
                <w:lang w:bidi="ar"/>
              </w:rPr>
              <w:t>15</w:t>
            </w:r>
            <w:r>
              <w:rPr>
                <w:rFonts w:hint="eastAsia" w:ascii="楷体" w:hAnsi="楷体" w:eastAsia="楷体" w:cs="楷体"/>
                <w:b/>
                <w:bCs/>
                <w:color w:val="000000"/>
                <w:kern w:val="0"/>
                <w:sz w:val="22"/>
                <w:szCs w:val="22"/>
                <w:lang w:val="en-US" w:eastAsia="zh-CN" w:bidi="ar"/>
              </w:rPr>
              <w:t>0+（8</w:t>
            </w:r>
            <w:r>
              <w:rPr>
                <w:rFonts w:hint="eastAsia" w:ascii="Times New Roman" w:hAnsi="Times New Roman" w:eastAsia="宋体" w:cs="Times New Roman"/>
                <w:bCs w:val="0"/>
                <w:color w:val="000000"/>
                <w:kern w:val="2"/>
                <w:sz w:val="21"/>
                <w:szCs w:val="21"/>
                <w:lang w:val="en-US" w:eastAsia="zh-CN" w:bidi="ar-SA"/>
              </w:rPr>
              <w:t>~</w:t>
            </w:r>
            <w:r>
              <w:rPr>
                <w:rFonts w:hint="eastAsia" w:ascii="楷体" w:hAnsi="楷体" w:eastAsia="楷体" w:cs="楷体"/>
                <w:b/>
                <w:bCs/>
                <w:color w:val="000000"/>
                <w:kern w:val="0"/>
                <w:sz w:val="22"/>
                <w:szCs w:val="22"/>
                <w:lang w:val="en-US" w:eastAsia="zh-CN" w:bidi="ar"/>
              </w:rPr>
              <w:t>10）</w:t>
            </w:r>
          </w:p>
        </w:tc>
        <w:tc>
          <w:tcPr>
            <w:tcW w:w="7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ascii="楷体" w:hAnsi="楷体" w:eastAsia="楷体" w:cs="楷体"/>
                <w:b/>
                <w:bCs/>
                <w:color w:val="000000"/>
                <w:kern w:val="0"/>
                <w:sz w:val="22"/>
                <w:szCs w:val="22"/>
                <w:lang w:bidi="ar"/>
              </w:rPr>
              <w:t>40</w:t>
            </w:r>
          </w:p>
        </w:tc>
        <w:tc>
          <w:tcPr>
            <w:tcW w:w="7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ascii="楷体" w:hAnsi="楷体" w:eastAsia="楷体" w:cs="楷体"/>
                <w:b/>
                <w:bCs/>
                <w:color w:val="000000"/>
                <w:kern w:val="0"/>
                <w:sz w:val="22"/>
                <w:szCs w:val="22"/>
                <w:lang w:bidi="ar"/>
              </w:rPr>
              <w:t>15</w:t>
            </w:r>
          </w:p>
        </w:tc>
        <w:tc>
          <w:tcPr>
            <w:tcW w:w="7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ascii="楷体" w:hAnsi="楷体" w:eastAsia="楷体" w:cs="楷体"/>
                <w:b/>
                <w:bCs/>
                <w:color w:val="000000"/>
                <w:kern w:val="0"/>
                <w:sz w:val="22"/>
                <w:szCs w:val="22"/>
                <w:lang w:bidi="ar"/>
              </w:rPr>
              <w:t>24</w:t>
            </w:r>
          </w:p>
        </w:tc>
        <w:tc>
          <w:tcPr>
            <w:tcW w:w="7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ascii="楷体" w:hAnsi="楷体" w:eastAsia="楷体" w:cs="楷体"/>
                <w:b/>
                <w:bCs/>
                <w:color w:val="000000"/>
                <w:kern w:val="0"/>
                <w:sz w:val="22"/>
                <w:szCs w:val="22"/>
                <w:lang w:bidi="ar"/>
              </w:rPr>
              <w:t>25</w:t>
            </w:r>
          </w:p>
        </w:tc>
        <w:tc>
          <w:tcPr>
            <w:tcW w:w="10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ascii="楷体" w:hAnsi="楷体" w:eastAsia="楷体" w:cs="楷体"/>
                <w:b/>
                <w:bCs/>
                <w:color w:val="000000"/>
                <w:kern w:val="0"/>
                <w:sz w:val="22"/>
                <w:szCs w:val="22"/>
                <w:lang w:bidi="ar"/>
              </w:rPr>
              <w:t>4</w:t>
            </w:r>
          </w:p>
        </w:tc>
        <w:tc>
          <w:tcPr>
            <w:tcW w:w="1055"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楷体" w:hAnsi="楷体" w:eastAsia="楷体" w:cs="楷体"/>
                <w:b/>
                <w:bCs/>
                <w:color w:val="000000"/>
                <w:kern w:val="0"/>
                <w:sz w:val="22"/>
                <w:szCs w:val="22"/>
                <w:lang w:val="en-US" w:eastAsia="zh-CN" w:bidi="ar"/>
              </w:rPr>
            </w:pPr>
            <w:r>
              <w:rPr>
                <w:rFonts w:ascii="楷体" w:hAnsi="楷体" w:eastAsia="楷体" w:cs="楷体"/>
                <w:b/>
                <w:bCs/>
                <w:color w:val="000000"/>
                <w:kern w:val="0"/>
                <w:sz w:val="22"/>
                <w:szCs w:val="22"/>
                <w:lang w:bidi="ar"/>
              </w:rPr>
              <w:t>9</w:t>
            </w:r>
          </w:p>
        </w:tc>
        <w:tc>
          <w:tcPr>
            <w:tcW w:w="7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ascii="楷体" w:hAnsi="楷体" w:eastAsia="楷体" w:cs="楷体"/>
                <w:b/>
                <w:bCs/>
                <w:color w:val="000000"/>
                <w:kern w:val="0"/>
                <w:sz w:val="22"/>
                <w:szCs w:val="22"/>
                <w:lang w:bidi="ar"/>
              </w:rPr>
              <w:t>30</w:t>
            </w:r>
          </w:p>
        </w:tc>
        <w:tc>
          <w:tcPr>
            <w:tcW w:w="5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楷体" w:hAnsi="楷体" w:eastAsia="楷体" w:cs="楷体"/>
                <w:b/>
                <w:bCs/>
                <w:color w:val="000000"/>
                <w:kern w:val="0"/>
                <w:sz w:val="22"/>
                <w:szCs w:val="22"/>
                <w:lang w:bidi="ar"/>
              </w:rPr>
            </w:pPr>
            <w:r>
              <w:rPr>
                <w:rFonts w:hint="eastAsia" w:ascii="Times New Roman" w:hAnsi="Times New Roman" w:cs="Times New Roman"/>
                <w:b/>
                <w:bCs/>
                <w:color w:val="000000"/>
                <w:sz w:val="22"/>
                <w:szCs w:val="22"/>
              </w:rPr>
              <w:t>7</w:t>
            </w:r>
          </w:p>
        </w:tc>
        <w:tc>
          <w:tcPr>
            <w:tcW w:w="5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cs="Times New Roman"/>
                <w:b/>
                <w:bCs/>
                <w:color w:val="000000"/>
                <w:sz w:val="22"/>
                <w:szCs w:val="22"/>
              </w:rPr>
            </w:pPr>
            <w:r>
              <w:rPr>
                <w:rFonts w:hint="eastAsia" w:ascii="Times New Roman" w:hAnsi="Times New Roman" w:eastAsia="宋体" w:cs="Times New Roman"/>
                <w:b/>
                <w:bCs/>
                <w:color w:val="000000"/>
                <w:sz w:val="22"/>
                <w:szCs w:val="22"/>
                <w:lang w:val="en-US" w:eastAsia="zh-CN"/>
              </w:rPr>
              <w:t>8</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Times New Roman" w:hAnsi="Times New Roman" w:eastAsia="宋体" w:cs="Times New Roman"/>
                <w:b/>
                <w:bCs/>
                <w:color w:val="000000"/>
                <w:sz w:val="22"/>
                <w:szCs w:val="22"/>
                <w:lang w:val="en-US" w:eastAsia="zh-CN"/>
              </w:rPr>
              <w:t>10</w:t>
            </w:r>
          </w:p>
        </w:tc>
      </w:tr>
    </w:tbl>
    <w:p>
      <w:pPr>
        <w:pStyle w:val="4"/>
        <w:spacing w:line="400" w:lineRule="exact"/>
        <w:rPr>
          <w:rFonts w:ascii="Times New Roman" w:hAnsi="Times New Roman" w:eastAsia="仿宋" w:cs="Times New Roman"/>
          <w:b/>
          <w:color w:val="000000"/>
        </w:rPr>
      </w:pPr>
      <w:r>
        <w:rPr>
          <w:rFonts w:ascii="Times New Roman" w:hAnsi="Times New Roman" w:eastAsia="仿宋" w:cs="Times New Roman"/>
          <w:b/>
          <w:color w:val="000000"/>
        </w:rPr>
        <w:t>备注：</w:t>
      </w:r>
      <w:r>
        <w:rPr>
          <w:rFonts w:hint="eastAsia" w:ascii="Times New Roman" w:hAnsi="Times New Roman" w:eastAsia="仿宋" w:cs="Times New Roman"/>
          <w:b/>
          <w:color w:val="000000"/>
          <w:lang w:val="en-US" w:eastAsia="zh-CN"/>
        </w:rPr>
        <w:t>1.</w:t>
      </w:r>
      <w:r>
        <w:rPr>
          <w:rFonts w:ascii="Times New Roman" w:hAnsi="Times New Roman" w:eastAsia="仿宋" w:cs="Times New Roman"/>
          <w:b/>
          <w:color w:val="000000"/>
        </w:rPr>
        <w:t>该学分结构表显示了本专业学生毕业的最低</w:t>
      </w:r>
      <w:r>
        <w:rPr>
          <w:rFonts w:hint="eastAsia" w:ascii="Times New Roman" w:hAnsi="Times New Roman" w:eastAsia="仿宋" w:cs="Times New Roman"/>
          <w:b/>
          <w:color w:val="000000"/>
        </w:rPr>
        <w:t>修读</w:t>
      </w:r>
      <w:r>
        <w:rPr>
          <w:rFonts w:ascii="Times New Roman" w:hAnsi="Times New Roman" w:eastAsia="仿宋" w:cs="Times New Roman"/>
          <w:b/>
          <w:color w:val="000000"/>
        </w:rPr>
        <w:t>总学分要求和各</w:t>
      </w:r>
      <w:r>
        <w:rPr>
          <w:rFonts w:hint="eastAsia" w:ascii="Times New Roman" w:hAnsi="Times New Roman" w:eastAsia="仿宋" w:cs="Times New Roman"/>
          <w:b/>
          <w:color w:val="000000"/>
        </w:rPr>
        <w:t>类课程</w:t>
      </w:r>
      <w:r>
        <w:rPr>
          <w:rFonts w:ascii="Times New Roman" w:hAnsi="Times New Roman" w:eastAsia="仿宋" w:cs="Times New Roman"/>
          <w:b/>
          <w:color w:val="000000"/>
        </w:rPr>
        <w:t>下的</w:t>
      </w:r>
      <w:r>
        <w:rPr>
          <w:rFonts w:hint="eastAsia" w:ascii="Times New Roman" w:hAnsi="Times New Roman" w:eastAsia="仿宋" w:cs="Times New Roman"/>
          <w:b/>
          <w:color w:val="000000"/>
        </w:rPr>
        <w:t>最低修读</w:t>
      </w:r>
      <w:r>
        <w:rPr>
          <w:rFonts w:ascii="Times New Roman" w:hAnsi="Times New Roman" w:eastAsia="仿宋" w:cs="Times New Roman"/>
          <w:b/>
          <w:color w:val="000000"/>
        </w:rPr>
        <w:t>学分组成</w:t>
      </w:r>
      <w:r>
        <w:rPr>
          <w:rFonts w:hint="eastAsia" w:ascii="Times New Roman" w:hAnsi="Times New Roman" w:eastAsia="仿宋" w:cs="Times New Roman"/>
          <w:b/>
          <w:color w:val="000000"/>
        </w:rPr>
        <w:t>。</w:t>
      </w:r>
      <w:r>
        <w:rPr>
          <w:rFonts w:hint="eastAsia" w:ascii="Times New Roman" w:hAnsi="Times New Roman" w:eastAsia="仿宋" w:cs="Times New Roman"/>
          <w:b/>
          <w:lang w:val="en-US" w:eastAsia="zh-CN"/>
        </w:rPr>
        <w:t>2</w:t>
      </w:r>
      <w:r>
        <w:rPr>
          <w:rFonts w:hint="eastAsia" w:ascii="Times New Roman" w:hAnsi="Times New Roman" w:eastAsia="仿宋" w:cs="Times New Roman"/>
          <w:b/>
        </w:rPr>
        <w:t>.</w:t>
      </w:r>
      <w:r>
        <w:rPr>
          <w:rFonts w:hint="eastAsia" w:eastAsia="仿宋"/>
          <w:b/>
          <w:bCs/>
          <w:color w:val="000000"/>
        </w:rPr>
        <w:t>“+（8</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eastAsia="仿宋"/>
          <w:b/>
          <w:bCs/>
          <w:color w:val="000000"/>
        </w:rPr>
        <w:t>10）”</w:t>
      </w:r>
      <w:r>
        <w:rPr>
          <w:rFonts w:eastAsia="仿宋"/>
          <w:b/>
          <w:color w:val="000000"/>
        </w:rPr>
        <w:t>为</w:t>
      </w:r>
      <w:r>
        <w:rPr>
          <w:rFonts w:hint="eastAsia" w:eastAsia="仿宋"/>
          <w:b/>
          <w:color w:val="000000"/>
        </w:rPr>
        <w:t>8</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eastAsia="仿宋"/>
          <w:b/>
          <w:color w:val="000000"/>
        </w:rPr>
        <w:t>10</w:t>
      </w:r>
      <w:r>
        <w:rPr>
          <w:rFonts w:eastAsia="仿宋"/>
          <w:b/>
          <w:color w:val="000000"/>
        </w:rPr>
        <w:t>学分的</w:t>
      </w:r>
      <w:r>
        <w:rPr>
          <w:rFonts w:hint="eastAsia" w:eastAsia="仿宋"/>
          <w:b/>
          <w:color w:val="000000"/>
        </w:rPr>
        <w:t>学生成长教育课程</w:t>
      </w:r>
      <w:r>
        <w:rPr>
          <w:rFonts w:eastAsia="仿宋"/>
          <w:b/>
          <w:color w:val="000000"/>
        </w:rPr>
        <w:t>学分</w:t>
      </w:r>
      <w:r>
        <w:rPr>
          <w:rFonts w:hint="eastAsia" w:eastAsia="仿宋"/>
          <w:b/>
          <w:color w:val="000000"/>
        </w:rPr>
        <w:t>，由学生处统筹各院系组织完成。</w:t>
      </w:r>
    </w:p>
    <w:p>
      <w:pPr>
        <w:pStyle w:val="4"/>
        <w:spacing w:before="156" w:beforeLines="50" w:line="400" w:lineRule="exact"/>
        <w:ind w:firstLine="482" w:firstLineChars="200"/>
        <w:rPr>
          <w:rFonts w:ascii="Times New Roman" w:hAnsi="Times New Roman" w:eastAsia="仿宋" w:cs="Times New Roman"/>
          <w:b/>
          <w:color w:val="000000"/>
          <w:sz w:val="28"/>
          <w:szCs w:val="28"/>
        </w:rPr>
      </w:pPr>
      <w:r>
        <w:rPr>
          <w:rFonts w:ascii="Times New Roman" w:hAnsi="Times New Roman" w:eastAsia="仿宋" w:cs="Times New Roman"/>
          <w:b/>
          <w:color w:val="000000"/>
          <w:sz w:val="24"/>
          <w:szCs w:val="24"/>
        </w:rPr>
        <w:t>（一）毕业条件</w:t>
      </w:r>
    </w:p>
    <w:p>
      <w:pPr>
        <w:pStyle w:val="4"/>
        <w:spacing w:line="400" w:lineRule="exact"/>
        <w:ind w:firstLine="420" w:firstLineChars="200"/>
        <w:rPr>
          <w:rFonts w:ascii="Times New Roman" w:hAnsi="Times New Roman" w:cs="Times New Roman"/>
          <w:bCs w:val="0"/>
          <w:color w:val="000000"/>
        </w:rPr>
      </w:pPr>
      <w:r>
        <w:rPr>
          <w:rFonts w:ascii="Times New Roman" w:hAnsi="Times New Roman" w:cs="Times New Roman"/>
          <w:bCs w:val="0"/>
          <w:color w:val="000000"/>
        </w:rPr>
        <w:t>学生申请以</w:t>
      </w:r>
      <w:r>
        <w:rPr>
          <w:rFonts w:hint="eastAsia" w:ascii="Times New Roman" w:hAnsi="Times New Roman" w:cs="Times New Roman"/>
          <w:bCs w:val="0"/>
          <w:color w:val="000000"/>
        </w:rPr>
        <w:t>健康服务与管理</w:t>
      </w:r>
      <w:r>
        <w:rPr>
          <w:rFonts w:ascii="Times New Roman" w:hAnsi="Times New Roman" w:cs="Times New Roman"/>
          <w:bCs w:val="0"/>
          <w:color w:val="000000"/>
        </w:rPr>
        <w:t>专业毕业，须符合以下全部条件后，才准予毕业，并发给毕业证书：</w:t>
      </w:r>
    </w:p>
    <w:p>
      <w:pPr>
        <w:pStyle w:val="4"/>
        <w:spacing w:line="400" w:lineRule="exact"/>
        <w:ind w:firstLine="420" w:firstLineChars="200"/>
        <w:rPr>
          <w:rFonts w:ascii="Times New Roman" w:hAnsi="Times New Roman" w:cs="Times New Roman"/>
          <w:bCs w:val="0"/>
          <w:color w:val="000000"/>
        </w:rPr>
      </w:pPr>
      <w:r>
        <w:rPr>
          <w:rFonts w:ascii="Times New Roman" w:hAnsi="Times New Roman" w:cs="Times New Roman"/>
          <w:bCs w:val="0"/>
          <w:color w:val="000000"/>
        </w:rPr>
        <w:t>1.在学院允许的学习年限内，即3~7年。</w:t>
      </w:r>
    </w:p>
    <w:p>
      <w:pPr>
        <w:pStyle w:val="4"/>
        <w:spacing w:line="400" w:lineRule="exact"/>
        <w:ind w:firstLine="420" w:firstLineChars="200"/>
        <w:rPr>
          <w:rFonts w:ascii="Times New Roman" w:hAnsi="Times New Roman" w:cs="Times New Roman"/>
          <w:bCs w:val="0"/>
          <w:color w:val="000000"/>
        </w:rPr>
      </w:pPr>
      <w:r>
        <w:rPr>
          <w:rFonts w:ascii="Times New Roman" w:hAnsi="Times New Roman" w:cs="Times New Roman"/>
          <w:bCs w:val="0"/>
          <w:color w:val="000000"/>
        </w:rPr>
        <w:t>2.取得</w:t>
      </w:r>
      <w:r>
        <w:rPr>
          <w:rFonts w:hint="eastAsia" w:ascii="Times New Roman" w:hAnsi="Times New Roman" w:cs="Times New Roman"/>
          <w:bCs w:val="0"/>
          <w:color w:val="000000"/>
        </w:rPr>
        <w:t>健康服务与管理专</w:t>
      </w:r>
      <w:r>
        <w:rPr>
          <w:rFonts w:ascii="Times New Roman" w:hAnsi="Times New Roman" w:cs="Times New Roman"/>
          <w:bCs w:val="0"/>
          <w:color w:val="000000"/>
        </w:rPr>
        <w:t>业规定的最低毕业总学分15</w:t>
      </w:r>
      <w:r>
        <w:rPr>
          <w:rFonts w:hint="eastAsia" w:ascii="Times New Roman" w:hAnsi="Times New Roman" w:cs="Times New Roman"/>
          <w:bCs w:val="0"/>
          <w:color w:val="000000"/>
          <w:lang w:val="en-US" w:eastAsia="zh-CN"/>
        </w:rPr>
        <w:t>0+</w:t>
      </w:r>
      <w:r>
        <w:rPr>
          <w:rFonts w:hint="eastAsia" w:ascii="Times New Roman" w:hAnsi="Times New Roman" w:cs="Times New Roman"/>
          <w:color w:val="000000"/>
          <w:lang w:val="en-US" w:eastAsia="zh-CN"/>
        </w:rPr>
        <w:t>（8</w:t>
      </w:r>
      <w:r>
        <w:rPr>
          <w:rFonts w:hint="default" w:ascii="Times New Roman" w:hAnsi="Times New Roman" w:cs="Times New Roman"/>
          <w:color w:val="000000"/>
          <w:lang w:val="en-US" w:eastAsia="zh-CN"/>
        </w:rPr>
        <w:t>~</w:t>
      </w:r>
      <w:r>
        <w:rPr>
          <w:rFonts w:hint="eastAsia" w:ascii="Times New Roman" w:hAnsi="Times New Roman" w:cs="Times New Roman"/>
          <w:color w:val="000000"/>
          <w:lang w:val="en-US" w:eastAsia="zh-CN"/>
        </w:rPr>
        <w:t>10）</w:t>
      </w:r>
      <w:r>
        <w:rPr>
          <w:rFonts w:ascii="Times New Roman" w:hAnsi="Times New Roman" w:cs="Times New Roman"/>
          <w:bCs w:val="0"/>
          <w:color w:val="000000"/>
        </w:rPr>
        <w:t>学分</w:t>
      </w:r>
      <w:r>
        <w:rPr>
          <w:rFonts w:hint="eastAsia" w:ascii="Times New Roman" w:hAnsi="Times New Roman" w:cs="Times New Roman"/>
          <w:bCs w:val="0"/>
          <w:color w:val="000000"/>
        </w:rPr>
        <w:t>，其中：</w:t>
      </w:r>
    </w:p>
    <w:p>
      <w:pPr>
        <w:widowControl/>
        <w:adjustRightInd w:val="0"/>
        <w:snapToGrid w:val="0"/>
        <w:spacing w:line="400" w:lineRule="exact"/>
        <w:ind w:firstLine="420" w:firstLineChars="200"/>
        <w:rPr>
          <w:rFonts w:hint="eastAsia" w:ascii="Times New Roman" w:hAnsi="Times New Roman" w:cs="Times New Roman"/>
          <w:bCs w:val="0"/>
          <w:color w:val="000000"/>
        </w:rPr>
      </w:pPr>
      <w:r>
        <w:rPr>
          <w:rFonts w:ascii="Times New Roman" w:hAnsi="Times New Roman" w:cs="Times New Roman"/>
          <w:bCs w:val="0"/>
          <w:color w:val="000000"/>
        </w:rPr>
        <w:t>公共必修课</w:t>
      </w:r>
      <w:r>
        <w:rPr>
          <w:rFonts w:hint="eastAsia" w:ascii="Times New Roman" w:hAnsi="Times New Roman" w:cs="Times New Roman"/>
          <w:bCs w:val="0"/>
          <w:color w:val="000000"/>
        </w:rPr>
        <w:t>4</w:t>
      </w:r>
      <w:r>
        <w:rPr>
          <w:rFonts w:ascii="Times New Roman" w:hAnsi="Times New Roman" w:cs="Times New Roman"/>
          <w:bCs w:val="0"/>
          <w:color w:val="000000"/>
        </w:rPr>
        <w:t>0学分</w:t>
      </w:r>
      <w:r>
        <w:rPr>
          <w:rFonts w:hint="eastAsia" w:ascii="Times New Roman" w:hAnsi="Times New Roman" w:cs="Times New Roman"/>
          <w:bCs w:val="0"/>
          <w:color w:val="000000"/>
        </w:rPr>
        <w:t>；</w:t>
      </w:r>
      <w:r>
        <w:rPr>
          <w:rFonts w:ascii="Times New Roman" w:hAnsi="Times New Roman" w:cs="Times New Roman"/>
          <w:bCs w:val="0"/>
          <w:color w:val="000000"/>
        </w:rPr>
        <w:t>公共</w:t>
      </w:r>
      <w:r>
        <w:rPr>
          <w:rFonts w:hint="eastAsia" w:ascii="Times New Roman" w:hAnsi="Times New Roman" w:cs="Times New Roman"/>
          <w:bCs w:val="0"/>
          <w:color w:val="000000"/>
        </w:rPr>
        <w:t>选修</w:t>
      </w:r>
      <w:r>
        <w:rPr>
          <w:rFonts w:ascii="Times New Roman" w:hAnsi="Times New Roman" w:cs="Times New Roman"/>
          <w:bCs w:val="0"/>
          <w:color w:val="000000"/>
        </w:rPr>
        <w:t>课</w:t>
      </w:r>
      <w:r>
        <w:rPr>
          <w:rFonts w:hint="eastAsia" w:ascii="Times New Roman" w:hAnsi="Times New Roman" w:cs="Times New Roman"/>
          <w:bCs w:val="0"/>
          <w:color w:val="000000"/>
        </w:rPr>
        <w:t>1</w:t>
      </w:r>
      <w:r>
        <w:rPr>
          <w:rFonts w:ascii="Times New Roman" w:hAnsi="Times New Roman" w:cs="Times New Roman"/>
          <w:bCs w:val="0"/>
          <w:color w:val="000000"/>
        </w:rPr>
        <w:t>5</w:t>
      </w:r>
      <w:r>
        <w:rPr>
          <w:rFonts w:ascii="Times New Roman" w:hAnsi="Times New Roman" w:cs="Times New Roman"/>
          <w:color w:val="000000"/>
        </w:rPr>
        <w:t>学</w:t>
      </w:r>
      <w:r>
        <w:rPr>
          <w:rFonts w:ascii="Times New Roman" w:hAnsi="Times New Roman" w:cs="Times New Roman"/>
          <w:bCs w:val="0"/>
          <w:color w:val="000000"/>
        </w:rPr>
        <w:t>分</w:t>
      </w:r>
      <w:r>
        <w:rPr>
          <w:rFonts w:hint="eastAsia" w:ascii="Times New Roman" w:hAnsi="Times New Roman" w:cs="Times New Roman"/>
          <w:color w:val="000000"/>
        </w:rPr>
        <w:t>；</w:t>
      </w:r>
      <w:r>
        <w:rPr>
          <w:rFonts w:hint="eastAsia" w:ascii="Times New Roman" w:hAnsi="Times New Roman" w:cs="Times New Roman"/>
          <w:bCs w:val="0"/>
          <w:color w:val="000000"/>
        </w:rPr>
        <w:t>专业必修课</w:t>
      </w:r>
      <w:r>
        <w:rPr>
          <w:rFonts w:hint="eastAsia" w:ascii="Times New Roman" w:hAnsi="Times New Roman" w:cs="Times New Roman"/>
          <w:bCs w:val="0"/>
          <w:color w:val="000000"/>
          <w:lang w:val="en-US" w:eastAsia="zh-CN"/>
        </w:rPr>
        <w:t>58</w:t>
      </w:r>
      <w:r>
        <w:rPr>
          <w:rFonts w:hint="eastAsia" w:ascii="Times New Roman" w:hAnsi="Times New Roman" w:cs="Times New Roman"/>
          <w:bCs w:val="0"/>
          <w:color w:val="000000"/>
        </w:rPr>
        <w:t>学分，专业选修课</w:t>
      </w:r>
      <w:r>
        <w:rPr>
          <w:rFonts w:ascii="Times New Roman" w:hAnsi="Times New Roman" w:cs="Times New Roman"/>
          <w:bCs w:val="0"/>
          <w:color w:val="000000"/>
        </w:rPr>
        <w:t>30</w:t>
      </w:r>
      <w:r>
        <w:rPr>
          <w:rFonts w:hint="eastAsia" w:ascii="Times New Roman" w:hAnsi="Times New Roman" w:cs="Times New Roman"/>
          <w:bCs w:val="0"/>
          <w:color w:val="000000"/>
        </w:rPr>
        <w:t>学分；成长</w:t>
      </w:r>
      <w:r>
        <w:rPr>
          <w:rFonts w:hint="eastAsia" w:cs="Times New Roman"/>
          <w:bCs w:val="0"/>
          <w:color w:val="000000"/>
          <w:lang w:val="en-US" w:eastAsia="zh-CN"/>
        </w:rPr>
        <w:t>教育</w:t>
      </w:r>
      <w:r>
        <w:rPr>
          <w:rFonts w:hint="eastAsia" w:ascii="Times New Roman" w:hAnsi="Times New Roman" w:cs="Times New Roman"/>
          <w:bCs w:val="0"/>
          <w:color w:val="000000"/>
        </w:rPr>
        <w:t>课</w:t>
      </w:r>
      <w:r>
        <w:rPr>
          <w:rFonts w:ascii="Times New Roman" w:hAnsi="Times New Roman" w:cs="Times New Roman"/>
          <w:color w:val="000000"/>
        </w:rPr>
        <w:t>7</w:t>
      </w:r>
      <w:r>
        <w:rPr>
          <w:rFonts w:hint="eastAsia" w:ascii="Times New Roman" w:hAnsi="Times New Roman" w:cs="Times New Roman"/>
          <w:bCs/>
          <w:color w:val="000000"/>
        </w:rPr>
        <w:t>+</w:t>
      </w:r>
      <w:r>
        <w:rPr>
          <w:rFonts w:hint="eastAsia" w:ascii="Times New Roman" w:hAnsi="Times New Roman" w:eastAsia="宋体" w:cs="Times New Roman"/>
          <w:bCs/>
          <w:color w:val="000000"/>
          <w:lang w:val="en-US" w:eastAsia="zh-CN"/>
        </w:rPr>
        <w:t>（8</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Times New Roman" w:hAnsi="Times New Roman" w:eastAsia="宋体" w:cs="Times New Roman"/>
          <w:bCs/>
          <w:color w:val="000000"/>
          <w:lang w:val="en-US" w:eastAsia="zh-CN"/>
        </w:rPr>
        <w:t>10）</w:t>
      </w:r>
      <w:r>
        <w:rPr>
          <w:rFonts w:hint="eastAsia" w:ascii="Times New Roman" w:hAnsi="Times New Roman" w:cs="Times New Roman"/>
          <w:color w:val="000000"/>
        </w:rPr>
        <w:t>学分。</w:t>
      </w:r>
      <w:r>
        <w:rPr>
          <w:rFonts w:hint="eastAsia" w:ascii="Times New Roman" w:hAnsi="Times New Roman" w:cs="Times New Roman"/>
          <w:bCs w:val="0"/>
          <w:color w:val="000000"/>
        </w:rPr>
        <w:t>“+（8~10）”为8~10学分的学生成长教育课程学分，学生毕业须修满6学分的学生成长教育必修课，2学分的学生成长教育选修课;优秀毕业生，须修满6学分的学生成长教育必修课，还须修满4学分的学生成长教育选修课。</w:t>
      </w:r>
    </w:p>
    <w:p>
      <w:pPr>
        <w:pStyle w:val="4"/>
        <w:spacing w:before="156" w:beforeLines="50" w:line="400" w:lineRule="exact"/>
        <w:rPr>
          <w:rFonts w:ascii="Times New Roman" w:hAnsi="Times New Roman" w:eastAsia="仿宋" w:cs="Times New Roman"/>
          <w:b/>
          <w:color w:val="000000"/>
          <w:sz w:val="28"/>
          <w:szCs w:val="28"/>
        </w:rPr>
      </w:pPr>
      <w:r>
        <w:rPr>
          <w:rFonts w:ascii="Times New Roman" w:hAnsi="Times New Roman" w:eastAsia="仿宋" w:cs="Times New Roman"/>
          <w:b/>
          <w:color w:val="000000"/>
          <w:sz w:val="28"/>
          <w:szCs w:val="28"/>
        </w:rPr>
        <w:t xml:space="preserve">    </w:t>
      </w:r>
      <w:r>
        <w:rPr>
          <w:rFonts w:ascii="Times New Roman" w:hAnsi="Times New Roman" w:eastAsia="仿宋" w:cs="Times New Roman"/>
          <w:b/>
          <w:color w:val="000000"/>
          <w:sz w:val="24"/>
          <w:szCs w:val="24"/>
        </w:rPr>
        <w:t>（二）获得学位</w:t>
      </w:r>
    </w:p>
    <w:p>
      <w:pPr>
        <w:pStyle w:val="4"/>
        <w:spacing w:line="400" w:lineRule="exact"/>
        <w:ind w:firstLine="420" w:firstLineChars="200"/>
        <w:rPr>
          <w:rFonts w:ascii="Times New Roman" w:hAnsi="Times New Roman" w:cs="Times New Roman"/>
          <w:bCs w:val="0"/>
          <w:color w:val="000000"/>
        </w:rPr>
      </w:pPr>
      <w:r>
        <w:rPr>
          <w:rFonts w:ascii="Times New Roman" w:hAnsi="Times New Roman" w:cs="Times New Roman"/>
          <w:bCs w:val="0"/>
          <w:color w:val="000000"/>
        </w:rPr>
        <w:t>普通全日制本科生在取得毕业资格的前提下，按现行的绩点制，其必修课、专业选修课的平均学分绩点达到</w:t>
      </w:r>
      <w:r>
        <w:rPr>
          <w:rFonts w:hint="eastAsia" w:ascii="Times New Roman" w:hAnsi="Times New Roman" w:cs="Times New Roman"/>
          <w:bCs w:val="0"/>
          <w:color w:val="000000"/>
          <w:lang w:val="en-US" w:eastAsia="zh-CN"/>
        </w:rPr>
        <w:t>2.0</w:t>
      </w:r>
      <w:r>
        <w:rPr>
          <w:rFonts w:ascii="Times New Roman" w:hAnsi="Times New Roman" w:cs="Times New Roman"/>
          <w:bCs w:val="0"/>
          <w:color w:val="000000"/>
        </w:rPr>
        <w:t>及以上者，可授予</w:t>
      </w:r>
      <w:r>
        <w:rPr>
          <w:rFonts w:hint="eastAsia" w:ascii="Times New Roman" w:hAnsi="Times New Roman" w:cs="Times New Roman"/>
          <w:bCs w:val="0"/>
          <w:color w:val="000000"/>
        </w:rPr>
        <w:t>管理学</w:t>
      </w:r>
      <w:r>
        <w:rPr>
          <w:rFonts w:ascii="Times New Roman" w:hAnsi="Times New Roman" w:cs="Times New Roman"/>
          <w:bCs w:val="0"/>
          <w:color w:val="000000"/>
        </w:rPr>
        <w:t>学士学位。</w:t>
      </w:r>
    </w:p>
    <w:p>
      <w:pPr>
        <w:spacing w:before="312" w:beforeLines="100"/>
        <w:ind w:left="420" w:leftChars="200"/>
        <w:rPr>
          <w:rFonts w:hint="default" w:eastAsia="宋体"/>
          <w:b/>
          <w:bCs/>
          <w:color w:val="000000"/>
          <w:sz w:val="28"/>
          <w:szCs w:val="28"/>
          <w:lang w:val="en-US" w:eastAsia="zh-CN"/>
        </w:rPr>
      </w:pPr>
      <w:r>
        <w:rPr>
          <w:b/>
          <w:bCs/>
          <w:color w:val="000000"/>
          <w:sz w:val="28"/>
          <w:szCs w:val="28"/>
        </w:rPr>
        <w:t>五、</w:t>
      </w:r>
      <w:r>
        <w:rPr>
          <w:rFonts w:hint="eastAsia"/>
          <w:b/>
          <w:bCs/>
          <w:color w:val="000000"/>
          <w:sz w:val="28"/>
          <w:szCs w:val="28"/>
        </w:rPr>
        <w:t>课</w:t>
      </w:r>
      <w:r>
        <w:rPr>
          <w:b/>
          <w:bCs/>
          <w:color w:val="000000"/>
          <w:sz w:val="28"/>
          <w:szCs w:val="28"/>
        </w:rPr>
        <w:t>程计划进程表</w:t>
      </w:r>
      <w:r>
        <w:rPr>
          <w:rFonts w:hint="eastAsia"/>
          <w:b/>
          <w:bCs/>
          <w:color w:val="000000"/>
          <w:sz w:val="28"/>
          <w:szCs w:val="28"/>
          <w:lang w:val="en-US" w:eastAsia="zh-CN"/>
        </w:rPr>
        <w:t>和学生成长教育课程计划进程表</w:t>
      </w:r>
    </w:p>
    <w:p>
      <w:pPr>
        <w:pStyle w:val="4"/>
        <w:spacing w:line="400" w:lineRule="exact"/>
        <w:ind w:firstLine="482" w:firstLineChars="2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请详见附表一。</w:t>
      </w:r>
    </w:p>
    <w:p>
      <w:pPr>
        <w:spacing w:before="312" w:beforeLines="100"/>
        <w:ind w:left="420" w:leftChars="200"/>
        <w:rPr>
          <w:b/>
          <w:bCs/>
          <w:color w:val="000000"/>
          <w:sz w:val="28"/>
          <w:szCs w:val="28"/>
        </w:rPr>
      </w:pPr>
      <w:r>
        <w:rPr>
          <w:rFonts w:hint="eastAsia"/>
          <w:b/>
          <w:bCs/>
          <w:color w:val="000000"/>
          <w:sz w:val="28"/>
          <w:szCs w:val="28"/>
        </w:rPr>
        <w:t>六</w:t>
      </w:r>
      <w:r>
        <w:rPr>
          <w:b/>
          <w:bCs/>
          <w:color w:val="000000"/>
          <w:sz w:val="28"/>
          <w:szCs w:val="28"/>
        </w:rPr>
        <w:t>、各学期</w:t>
      </w:r>
      <w:r>
        <w:rPr>
          <w:rFonts w:hint="eastAsia"/>
          <w:b/>
          <w:bCs/>
          <w:color w:val="000000"/>
          <w:sz w:val="28"/>
          <w:szCs w:val="28"/>
        </w:rPr>
        <w:t>学分</w:t>
      </w:r>
      <w:r>
        <w:rPr>
          <w:b/>
          <w:bCs/>
          <w:color w:val="000000"/>
          <w:sz w:val="28"/>
          <w:szCs w:val="28"/>
        </w:rPr>
        <w:t>分配表</w:t>
      </w:r>
    </w:p>
    <w:p>
      <w:pPr>
        <w:pStyle w:val="4"/>
        <w:spacing w:line="400" w:lineRule="exact"/>
        <w:ind w:firstLine="482" w:firstLineChars="2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请详见附表</w:t>
      </w:r>
      <w:r>
        <w:rPr>
          <w:rFonts w:hint="eastAsia" w:ascii="Times New Roman" w:hAnsi="Times New Roman" w:eastAsia="仿宋" w:cs="Times New Roman"/>
          <w:b/>
          <w:color w:val="000000"/>
          <w:sz w:val="24"/>
          <w:szCs w:val="24"/>
        </w:rPr>
        <w:t>二</w:t>
      </w:r>
      <w:r>
        <w:rPr>
          <w:rFonts w:ascii="Times New Roman" w:hAnsi="Times New Roman" w:eastAsia="仿宋" w:cs="Times New Roman"/>
          <w:b/>
          <w:color w:val="000000"/>
          <w:sz w:val="24"/>
          <w:szCs w:val="24"/>
        </w:rPr>
        <w:t>。</w:t>
      </w:r>
    </w:p>
    <w:p>
      <w:pPr>
        <w:spacing w:before="312" w:beforeLines="100"/>
        <w:ind w:left="420" w:leftChars="200"/>
        <w:rPr>
          <w:b/>
          <w:bCs/>
          <w:color w:val="000000"/>
          <w:sz w:val="28"/>
          <w:szCs w:val="28"/>
        </w:rPr>
      </w:pPr>
      <w:r>
        <w:rPr>
          <w:rFonts w:hint="eastAsia"/>
          <w:b/>
          <w:bCs/>
          <w:color w:val="000000"/>
          <w:sz w:val="28"/>
          <w:szCs w:val="28"/>
        </w:rPr>
        <w:t>七</w:t>
      </w:r>
      <w:r>
        <w:rPr>
          <w:b/>
          <w:bCs/>
          <w:color w:val="000000"/>
          <w:sz w:val="28"/>
          <w:szCs w:val="28"/>
        </w:rPr>
        <w:t>、</w:t>
      </w:r>
      <w:r>
        <w:rPr>
          <w:rFonts w:hint="eastAsia"/>
          <w:b/>
          <w:bCs/>
          <w:color w:val="000000"/>
          <w:sz w:val="28"/>
          <w:szCs w:val="28"/>
        </w:rPr>
        <w:t>理论、实践教学学时占比一览</w:t>
      </w:r>
      <w:r>
        <w:rPr>
          <w:b/>
          <w:bCs/>
          <w:color w:val="000000"/>
          <w:sz w:val="28"/>
          <w:szCs w:val="28"/>
        </w:rPr>
        <w:t>表</w:t>
      </w:r>
    </w:p>
    <w:p>
      <w:pPr>
        <w:pStyle w:val="4"/>
        <w:spacing w:line="400" w:lineRule="exact"/>
        <w:ind w:firstLine="482" w:firstLineChars="2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请详见附表</w:t>
      </w:r>
      <w:r>
        <w:rPr>
          <w:rFonts w:hint="eastAsia" w:ascii="Times New Roman" w:hAnsi="Times New Roman" w:eastAsia="仿宋" w:cs="Times New Roman"/>
          <w:b/>
          <w:color w:val="000000"/>
          <w:sz w:val="24"/>
          <w:szCs w:val="24"/>
        </w:rPr>
        <w:t>三</w:t>
      </w:r>
      <w:r>
        <w:rPr>
          <w:rFonts w:ascii="Times New Roman" w:hAnsi="Times New Roman" w:eastAsia="仿宋" w:cs="Times New Roman"/>
          <w:b/>
          <w:color w:val="000000"/>
          <w:sz w:val="24"/>
          <w:szCs w:val="24"/>
        </w:rPr>
        <w:t>。</w:t>
      </w:r>
    </w:p>
    <w:p>
      <w:pPr>
        <w:spacing w:before="312" w:beforeLines="100"/>
        <w:ind w:left="420" w:leftChars="200"/>
        <w:rPr>
          <w:b/>
          <w:bCs/>
          <w:color w:val="000000"/>
          <w:sz w:val="28"/>
          <w:szCs w:val="28"/>
        </w:rPr>
      </w:pPr>
      <w:r>
        <w:rPr>
          <w:rFonts w:hint="eastAsia"/>
          <w:b/>
          <w:bCs/>
          <w:color w:val="000000"/>
          <w:sz w:val="28"/>
          <w:szCs w:val="28"/>
        </w:rPr>
        <w:t>八</w:t>
      </w:r>
      <w:r>
        <w:rPr>
          <w:b/>
          <w:bCs/>
          <w:color w:val="000000"/>
          <w:sz w:val="28"/>
          <w:szCs w:val="28"/>
        </w:rPr>
        <w:t>、</w:t>
      </w:r>
      <w:r>
        <w:rPr>
          <w:rFonts w:hint="eastAsia"/>
          <w:b/>
          <w:bCs/>
          <w:color w:val="000000"/>
          <w:sz w:val="28"/>
          <w:szCs w:val="28"/>
        </w:rPr>
        <w:t>三实课程</w:t>
      </w:r>
      <w:r>
        <w:rPr>
          <w:b/>
          <w:bCs/>
          <w:color w:val="000000"/>
          <w:sz w:val="28"/>
          <w:szCs w:val="28"/>
        </w:rPr>
        <w:t>教学环节一览表</w:t>
      </w:r>
    </w:p>
    <w:p>
      <w:pPr>
        <w:pStyle w:val="4"/>
        <w:spacing w:line="400" w:lineRule="exact"/>
        <w:ind w:firstLine="482" w:firstLineChars="2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请详见附表</w:t>
      </w:r>
      <w:r>
        <w:rPr>
          <w:rFonts w:hint="eastAsia" w:ascii="Times New Roman" w:hAnsi="Times New Roman" w:eastAsia="仿宋" w:cs="Times New Roman"/>
          <w:b/>
          <w:color w:val="000000"/>
          <w:sz w:val="24"/>
          <w:szCs w:val="24"/>
        </w:rPr>
        <w:t>四</w:t>
      </w:r>
      <w:r>
        <w:rPr>
          <w:rFonts w:ascii="Times New Roman" w:hAnsi="Times New Roman" w:eastAsia="仿宋" w:cs="Times New Roman"/>
          <w:b/>
          <w:color w:val="000000"/>
          <w:sz w:val="24"/>
          <w:szCs w:val="24"/>
        </w:rPr>
        <w:t>。</w:t>
      </w:r>
    </w:p>
    <w:p>
      <w:pPr>
        <w:spacing w:before="312" w:beforeLines="100"/>
        <w:ind w:left="420" w:leftChars="200"/>
        <w:rPr>
          <w:b/>
          <w:bCs/>
          <w:color w:val="000000"/>
          <w:sz w:val="28"/>
          <w:szCs w:val="28"/>
        </w:rPr>
      </w:pPr>
      <w:r>
        <w:rPr>
          <w:rFonts w:hint="eastAsia"/>
          <w:b/>
          <w:bCs/>
          <w:color w:val="000000"/>
          <w:sz w:val="28"/>
          <w:szCs w:val="28"/>
        </w:rPr>
        <w:t>九</w:t>
      </w:r>
      <w:r>
        <w:rPr>
          <w:b/>
          <w:bCs/>
          <w:color w:val="000000"/>
          <w:sz w:val="28"/>
          <w:szCs w:val="28"/>
        </w:rPr>
        <w:t>、辅修课程、辅修专业、辅修专业学位课程计划进程表</w:t>
      </w:r>
    </w:p>
    <w:p>
      <w:pPr>
        <w:pStyle w:val="4"/>
        <w:spacing w:line="400" w:lineRule="exact"/>
        <w:ind w:firstLine="482" w:firstLineChars="2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请详见附表</w:t>
      </w:r>
      <w:r>
        <w:rPr>
          <w:rFonts w:hint="eastAsia" w:ascii="Times New Roman" w:hAnsi="Times New Roman" w:eastAsia="仿宋" w:cs="Times New Roman"/>
          <w:b/>
          <w:color w:val="000000"/>
          <w:sz w:val="24"/>
          <w:szCs w:val="24"/>
        </w:rPr>
        <w:t>五</w:t>
      </w:r>
      <w:r>
        <w:rPr>
          <w:rFonts w:ascii="Times New Roman" w:hAnsi="Times New Roman" w:eastAsia="仿宋" w:cs="Times New Roman"/>
          <w:b/>
          <w:color w:val="000000"/>
          <w:sz w:val="24"/>
          <w:szCs w:val="24"/>
        </w:rPr>
        <w:t>。</w:t>
      </w:r>
    </w:p>
    <w:p>
      <w:pPr>
        <w:pStyle w:val="4"/>
        <w:spacing w:line="400" w:lineRule="exact"/>
        <w:ind w:firstLine="482" w:firstLineChars="2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（一）辅修课程</w:t>
      </w:r>
    </w:p>
    <w:p>
      <w:pPr>
        <w:widowControl/>
        <w:adjustRightInd w:val="0"/>
        <w:snapToGrid w:val="0"/>
        <w:spacing w:line="400" w:lineRule="exact"/>
        <w:ind w:firstLine="420" w:firstLineChars="200"/>
        <w:rPr>
          <w:szCs w:val="21"/>
        </w:rPr>
      </w:pPr>
      <w:r>
        <w:rPr>
          <w:szCs w:val="21"/>
        </w:rPr>
        <w:t>辅修课程是指</w:t>
      </w:r>
      <w:r>
        <w:rPr>
          <w:rFonts w:hint="eastAsia"/>
          <w:szCs w:val="21"/>
        </w:rPr>
        <w:t>非本专业学生</w:t>
      </w:r>
      <w:r>
        <w:rPr>
          <w:szCs w:val="21"/>
        </w:rPr>
        <w:t>修满</w:t>
      </w:r>
      <w:r>
        <w:rPr>
          <w:rFonts w:hint="eastAsia"/>
          <w:szCs w:val="21"/>
        </w:rPr>
        <w:t>本</w:t>
      </w:r>
      <w:r>
        <w:rPr>
          <w:szCs w:val="21"/>
        </w:rPr>
        <w:t>专业辅修</w:t>
      </w:r>
      <w:r>
        <w:rPr>
          <w:rFonts w:hint="eastAsia"/>
          <w:szCs w:val="21"/>
        </w:rPr>
        <w:t>课程</w:t>
      </w:r>
      <w:r>
        <w:rPr>
          <w:szCs w:val="21"/>
        </w:rPr>
        <w:t>教学计划规定的</w:t>
      </w:r>
      <w:r>
        <w:rPr>
          <w:rFonts w:hint="eastAsia"/>
          <w:szCs w:val="21"/>
        </w:rPr>
        <w:t>3</w:t>
      </w:r>
      <w:r>
        <w:rPr>
          <w:szCs w:val="21"/>
        </w:rPr>
        <w:t>1学分，其中必修课</w:t>
      </w:r>
      <w:r>
        <w:rPr>
          <w:rFonts w:hint="eastAsia"/>
          <w:szCs w:val="21"/>
        </w:rPr>
        <w:t>3</w:t>
      </w:r>
      <w:r>
        <w:rPr>
          <w:szCs w:val="21"/>
        </w:rPr>
        <w:t>1学分，</w:t>
      </w:r>
      <w:r>
        <w:rPr>
          <w:rFonts w:hint="eastAsia"/>
          <w:szCs w:val="21"/>
        </w:rPr>
        <w:t>选修课0学分，</w:t>
      </w:r>
      <w:r>
        <w:rPr>
          <w:szCs w:val="21"/>
        </w:rPr>
        <w:t>可以取得</w:t>
      </w:r>
      <w:r>
        <w:rPr>
          <w:rFonts w:hint="eastAsia"/>
          <w:szCs w:val="21"/>
        </w:rPr>
        <w:t>健康服务与管理</w:t>
      </w:r>
      <w:r>
        <w:rPr>
          <w:szCs w:val="21"/>
        </w:rPr>
        <w:t>专业《辅修证明书》</w:t>
      </w:r>
      <w:r>
        <w:rPr>
          <w:rFonts w:hint="eastAsia"/>
          <w:szCs w:val="21"/>
        </w:rPr>
        <w:t>。</w:t>
      </w:r>
    </w:p>
    <w:p>
      <w:pPr>
        <w:widowControl/>
        <w:adjustRightInd w:val="0"/>
        <w:snapToGrid w:val="0"/>
        <w:spacing w:line="400" w:lineRule="exact"/>
        <w:ind w:firstLine="420" w:firstLineChars="200"/>
        <w:rPr>
          <w:szCs w:val="21"/>
        </w:rPr>
      </w:pPr>
      <w:r>
        <w:rPr>
          <w:rFonts w:hint="eastAsia"/>
          <w:szCs w:val="21"/>
        </w:rPr>
        <w:t>健康服务与管理</w:t>
      </w:r>
      <w:r>
        <w:rPr>
          <w:szCs w:val="21"/>
        </w:rPr>
        <w:t>专业辅修课程人才培养方案详见</w:t>
      </w:r>
      <w:r>
        <w:rPr>
          <w:rFonts w:hint="eastAsia"/>
          <w:szCs w:val="21"/>
        </w:rPr>
        <w:t>分表一</w:t>
      </w:r>
      <w:r>
        <w:rPr>
          <w:szCs w:val="21"/>
        </w:rPr>
        <w:t>。</w:t>
      </w:r>
    </w:p>
    <w:p>
      <w:pPr>
        <w:pStyle w:val="4"/>
        <w:spacing w:line="400" w:lineRule="exact"/>
        <w:ind w:firstLine="482" w:firstLineChars="200"/>
        <w:rPr>
          <w:rFonts w:ascii="Times New Roman" w:hAnsi="Times New Roman" w:cs="Times New Roman"/>
          <w:b/>
          <w:sz w:val="24"/>
        </w:rPr>
      </w:pPr>
      <w:r>
        <w:rPr>
          <w:rFonts w:ascii="Times New Roman" w:hAnsi="Times New Roman" w:eastAsia="仿宋" w:cs="Times New Roman"/>
          <w:b/>
          <w:color w:val="000000"/>
          <w:sz w:val="24"/>
          <w:szCs w:val="24"/>
        </w:rPr>
        <w:t>（二）辅修专业</w:t>
      </w:r>
    </w:p>
    <w:p>
      <w:pPr>
        <w:widowControl/>
        <w:adjustRightInd w:val="0"/>
        <w:snapToGrid w:val="0"/>
        <w:spacing w:line="400" w:lineRule="exact"/>
        <w:ind w:firstLine="420" w:firstLineChars="200"/>
        <w:rPr>
          <w:szCs w:val="21"/>
        </w:rPr>
      </w:pPr>
      <w:r>
        <w:rPr>
          <w:szCs w:val="21"/>
        </w:rPr>
        <w:t>辅修专业是指</w:t>
      </w:r>
      <w:r>
        <w:rPr>
          <w:rFonts w:hint="eastAsia"/>
          <w:szCs w:val="21"/>
        </w:rPr>
        <w:t>非本专业学生</w:t>
      </w:r>
      <w:r>
        <w:rPr>
          <w:szCs w:val="21"/>
        </w:rPr>
        <w:t>修满</w:t>
      </w:r>
      <w:r>
        <w:rPr>
          <w:rFonts w:hint="eastAsia"/>
          <w:szCs w:val="21"/>
        </w:rPr>
        <w:t>本</w:t>
      </w:r>
      <w:r>
        <w:rPr>
          <w:szCs w:val="21"/>
        </w:rPr>
        <w:t>专业辅修</w:t>
      </w:r>
      <w:r>
        <w:rPr>
          <w:rFonts w:hint="eastAsia"/>
          <w:szCs w:val="21"/>
        </w:rPr>
        <w:t>专业</w:t>
      </w:r>
      <w:r>
        <w:rPr>
          <w:szCs w:val="21"/>
        </w:rPr>
        <w:t>教学计划规定的</w:t>
      </w:r>
      <w:r>
        <w:rPr>
          <w:rFonts w:hint="eastAsia"/>
          <w:szCs w:val="21"/>
        </w:rPr>
        <w:t>5</w:t>
      </w:r>
      <w:r>
        <w:rPr>
          <w:szCs w:val="21"/>
        </w:rPr>
        <w:t>1学分，其中必修课</w:t>
      </w:r>
      <w:r>
        <w:rPr>
          <w:rFonts w:hint="eastAsia"/>
          <w:szCs w:val="21"/>
        </w:rPr>
        <w:t>4</w:t>
      </w:r>
      <w:r>
        <w:rPr>
          <w:szCs w:val="21"/>
        </w:rPr>
        <w:t>9学分，</w:t>
      </w:r>
      <w:r>
        <w:rPr>
          <w:rFonts w:hint="eastAsia"/>
          <w:szCs w:val="21"/>
        </w:rPr>
        <w:t>选修课2学分，</w:t>
      </w:r>
      <w:r>
        <w:rPr>
          <w:szCs w:val="21"/>
        </w:rPr>
        <w:t>可以取得</w:t>
      </w:r>
      <w:r>
        <w:rPr>
          <w:rFonts w:hint="eastAsia"/>
          <w:szCs w:val="21"/>
        </w:rPr>
        <w:t>健康服务与管理</w:t>
      </w:r>
      <w:r>
        <w:rPr>
          <w:szCs w:val="21"/>
        </w:rPr>
        <w:t>专业的辅修毕业资格。</w:t>
      </w:r>
    </w:p>
    <w:p>
      <w:pPr>
        <w:widowControl/>
        <w:adjustRightInd w:val="0"/>
        <w:snapToGrid w:val="0"/>
        <w:spacing w:line="400" w:lineRule="exact"/>
        <w:ind w:firstLine="420" w:firstLineChars="200"/>
        <w:rPr>
          <w:szCs w:val="21"/>
        </w:rPr>
      </w:pPr>
      <w:r>
        <w:rPr>
          <w:rFonts w:hint="eastAsia"/>
          <w:szCs w:val="21"/>
        </w:rPr>
        <w:t>健康服务与管理</w:t>
      </w:r>
      <w:r>
        <w:rPr>
          <w:szCs w:val="21"/>
        </w:rPr>
        <w:t>专业辅修专业人才培养方案详见</w:t>
      </w:r>
      <w:r>
        <w:rPr>
          <w:rFonts w:hint="eastAsia"/>
          <w:szCs w:val="21"/>
        </w:rPr>
        <w:t>分表二</w:t>
      </w:r>
      <w:r>
        <w:rPr>
          <w:szCs w:val="21"/>
        </w:rPr>
        <w:t>。</w:t>
      </w:r>
    </w:p>
    <w:p>
      <w:pPr>
        <w:pStyle w:val="4"/>
        <w:spacing w:line="400" w:lineRule="exact"/>
        <w:ind w:firstLine="477" w:firstLineChars="198"/>
        <w:rPr>
          <w:rFonts w:ascii="Times New Roman" w:hAnsi="Times New Roman" w:eastAsia="仿宋" w:cs="Times New Roman"/>
          <w:b/>
          <w:sz w:val="32"/>
          <w:szCs w:val="32"/>
        </w:rPr>
      </w:pPr>
      <w:r>
        <w:rPr>
          <w:rFonts w:ascii="Times New Roman" w:hAnsi="Times New Roman" w:eastAsia="仿宋" w:cs="Times New Roman"/>
          <w:b/>
          <w:color w:val="000000"/>
          <w:sz w:val="24"/>
          <w:szCs w:val="24"/>
        </w:rPr>
        <w:t>（三）</w:t>
      </w:r>
      <w:r>
        <w:rPr>
          <w:rFonts w:hint="eastAsia" w:ascii="Times New Roman" w:hAnsi="Times New Roman" w:eastAsia="仿宋" w:cs="Times New Roman"/>
          <w:b/>
          <w:color w:val="000000"/>
          <w:sz w:val="24"/>
          <w:szCs w:val="24"/>
        </w:rPr>
        <w:t>辅修专业学位</w:t>
      </w:r>
    </w:p>
    <w:p>
      <w:pPr>
        <w:spacing w:line="400" w:lineRule="exact"/>
        <w:ind w:firstLine="420" w:firstLineChars="200"/>
        <w:rPr>
          <w:szCs w:val="21"/>
        </w:rPr>
      </w:pPr>
      <w:r>
        <w:rPr>
          <w:szCs w:val="21"/>
        </w:rPr>
        <w:t>辅修专业学位</w:t>
      </w:r>
      <w:r>
        <w:rPr>
          <w:rFonts w:hint="eastAsia"/>
          <w:szCs w:val="21"/>
        </w:rPr>
        <w:t>规定，</w:t>
      </w:r>
      <w:r>
        <w:rPr>
          <w:rFonts w:hint="eastAsia" w:ascii="楷体" w:hAnsi="楷体" w:eastAsia="楷体" w:cs="楷体"/>
          <w:szCs w:val="21"/>
        </w:rPr>
        <w:t>学生原主修专业与计划进行辅修专业学位的专业不能属于同一学科门类</w:t>
      </w:r>
      <w:r>
        <w:rPr>
          <w:rFonts w:hint="eastAsia"/>
          <w:szCs w:val="21"/>
        </w:rPr>
        <w:t>。在此前提下，非本学科门类专业学生</w:t>
      </w:r>
      <w:r>
        <w:rPr>
          <w:szCs w:val="21"/>
        </w:rPr>
        <w:t>修满</w:t>
      </w:r>
      <w:r>
        <w:rPr>
          <w:rFonts w:hint="eastAsia"/>
          <w:szCs w:val="21"/>
        </w:rPr>
        <w:t>本</w:t>
      </w:r>
      <w:r>
        <w:rPr>
          <w:szCs w:val="21"/>
        </w:rPr>
        <w:t>专业辅修</w:t>
      </w:r>
      <w:r>
        <w:rPr>
          <w:rFonts w:hint="eastAsia"/>
          <w:szCs w:val="21"/>
        </w:rPr>
        <w:t>专业学位</w:t>
      </w:r>
      <w:r>
        <w:rPr>
          <w:szCs w:val="21"/>
        </w:rPr>
        <w:t>教学计划中规定的60学分，其中必修课56学分，</w:t>
      </w:r>
      <w:r>
        <w:rPr>
          <w:rFonts w:hint="eastAsia"/>
          <w:szCs w:val="21"/>
        </w:rPr>
        <w:t>选修课</w:t>
      </w:r>
      <w:r>
        <w:rPr>
          <w:szCs w:val="21"/>
        </w:rPr>
        <w:t>4</w:t>
      </w:r>
      <w:r>
        <w:rPr>
          <w:rFonts w:hint="eastAsia"/>
          <w:szCs w:val="21"/>
        </w:rPr>
        <w:t>学分，</w:t>
      </w:r>
      <w:r>
        <w:rPr>
          <w:szCs w:val="21"/>
        </w:rPr>
        <w:t>且符合两个专业要求的学位授予条件，在取得主修专业学士学位的同时，可同时取得</w:t>
      </w:r>
      <w:r>
        <w:rPr>
          <w:rFonts w:hint="eastAsia"/>
          <w:szCs w:val="21"/>
        </w:rPr>
        <w:t>管理学</w:t>
      </w:r>
      <w:r>
        <w:rPr>
          <w:szCs w:val="21"/>
        </w:rPr>
        <w:t>学士学位。</w:t>
      </w:r>
    </w:p>
    <w:p>
      <w:pPr>
        <w:widowControl/>
        <w:adjustRightInd w:val="0"/>
        <w:snapToGrid w:val="0"/>
        <w:spacing w:line="400" w:lineRule="exact"/>
        <w:ind w:firstLine="420" w:firstLineChars="200"/>
        <w:rPr>
          <w:rFonts w:ascii="Times New Roman" w:hAnsi="Times New Roman" w:cs="Times New Roman"/>
        </w:rPr>
      </w:pPr>
      <w:r>
        <w:rPr>
          <w:rFonts w:hint="eastAsia"/>
          <w:szCs w:val="21"/>
        </w:rPr>
        <w:t>健康服务与管理</w:t>
      </w:r>
      <w:r>
        <w:rPr>
          <w:szCs w:val="21"/>
        </w:rPr>
        <w:t>专业辅修专业学位人才培养方案详见</w:t>
      </w:r>
      <w:r>
        <w:rPr>
          <w:rFonts w:hint="eastAsia"/>
          <w:szCs w:val="21"/>
        </w:rPr>
        <w:t>分表三</w:t>
      </w:r>
      <w:r>
        <w:rPr>
          <w:szCs w:val="21"/>
        </w:rPr>
        <w:t>。</w:t>
      </w:r>
    </w:p>
    <w:p>
      <w:pPr>
        <w:pStyle w:val="4"/>
        <w:spacing w:line="400" w:lineRule="exact"/>
        <w:rPr>
          <w:rFonts w:ascii="Times New Roman" w:hAnsi="Times New Roman" w:cs="Times New Roman"/>
        </w:rPr>
      </w:pPr>
    </w:p>
    <w:p>
      <w:pPr>
        <w:pStyle w:val="4"/>
        <w:spacing w:line="400" w:lineRule="exact"/>
        <w:rPr>
          <w:rFonts w:ascii="Times New Roman" w:hAnsi="Times New Roman" w:cs="Times New Roman"/>
        </w:rPr>
      </w:pPr>
    </w:p>
    <w:p>
      <w:pPr>
        <w:pStyle w:val="4"/>
        <w:spacing w:line="400" w:lineRule="exact"/>
        <w:rPr>
          <w:rFonts w:ascii="Times New Roman" w:hAnsi="Times New Roman" w:cs="Times New Roma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B5DC6"/>
    <w:multiLevelType w:val="multilevel"/>
    <w:tmpl w:val="089B5DC6"/>
    <w:lvl w:ilvl="0" w:tentative="0">
      <w:start w:val="1"/>
      <w:numFmt w:val="lowerLetter"/>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12824569"/>
    <w:multiLevelType w:val="multilevel"/>
    <w:tmpl w:val="12824569"/>
    <w:lvl w:ilvl="0" w:tentative="0">
      <w:start w:val="1"/>
      <w:numFmt w:val="decimal"/>
      <w:lvlText w:val="(%1)"/>
      <w:lvlJc w:val="left"/>
      <w:pPr>
        <w:ind w:left="987" w:hanging="420"/>
      </w:pPr>
      <w:rPr>
        <w:rFonts w:hint="default" w:ascii="宋体" w:hAnsi="宋体" w:eastAsia="宋体"/>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3C66533F"/>
    <w:multiLevelType w:val="multilevel"/>
    <w:tmpl w:val="3C66533F"/>
    <w:lvl w:ilvl="0" w:tentative="0">
      <w:start w:val="1"/>
      <w:numFmt w:val="decimal"/>
      <w:lvlText w:val="(%1)"/>
      <w:lvlJc w:val="left"/>
      <w:pPr>
        <w:ind w:left="987" w:hanging="420"/>
      </w:pPr>
      <w:rPr>
        <w:rFonts w:hint="default" w:ascii="宋体" w:hAnsi="宋体" w:eastAsia="宋体"/>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5ED443EF"/>
    <w:multiLevelType w:val="multilevel"/>
    <w:tmpl w:val="5ED443EF"/>
    <w:lvl w:ilvl="0" w:tentative="0">
      <w:start w:val="1"/>
      <w:numFmt w:val="decimal"/>
      <w:lvlText w:val="(%1)"/>
      <w:lvlJc w:val="left"/>
      <w:pPr>
        <w:ind w:left="987" w:hanging="420"/>
      </w:pPr>
      <w:rPr>
        <w:rFonts w:hint="default" w:ascii="宋体" w:hAnsi="宋体" w:eastAsia="宋体"/>
        <w:b w:val="0"/>
        <w:bCs w:val="0"/>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75"/>
    <w:rsid w:val="00005C2B"/>
    <w:rsid w:val="000077F5"/>
    <w:rsid w:val="00011431"/>
    <w:rsid w:val="00017E2C"/>
    <w:rsid w:val="000217EA"/>
    <w:rsid w:val="0002445D"/>
    <w:rsid w:val="0004768D"/>
    <w:rsid w:val="0004777B"/>
    <w:rsid w:val="0005625F"/>
    <w:rsid w:val="00080FBA"/>
    <w:rsid w:val="00081886"/>
    <w:rsid w:val="00092751"/>
    <w:rsid w:val="000C1732"/>
    <w:rsid w:val="000C36FC"/>
    <w:rsid w:val="000C6A48"/>
    <w:rsid w:val="000D35F7"/>
    <w:rsid w:val="000D5902"/>
    <w:rsid w:val="000D67D3"/>
    <w:rsid w:val="000E5BD3"/>
    <w:rsid w:val="000F1C25"/>
    <w:rsid w:val="00117609"/>
    <w:rsid w:val="00122B5E"/>
    <w:rsid w:val="0012721D"/>
    <w:rsid w:val="0013345E"/>
    <w:rsid w:val="00134B38"/>
    <w:rsid w:val="00136A1B"/>
    <w:rsid w:val="001518AD"/>
    <w:rsid w:val="00153E9B"/>
    <w:rsid w:val="00157D78"/>
    <w:rsid w:val="00166CA5"/>
    <w:rsid w:val="00176B85"/>
    <w:rsid w:val="001770C8"/>
    <w:rsid w:val="001901E2"/>
    <w:rsid w:val="001A60B5"/>
    <w:rsid w:val="001B73B6"/>
    <w:rsid w:val="001D43E0"/>
    <w:rsid w:val="001E3989"/>
    <w:rsid w:val="001F136D"/>
    <w:rsid w:val="001F40ED"/>
    <w:rsid w:val="001F6624"/>
    <w:rsid w:val="00214C25"/>
    <w:rsid w:val="00220F5A"/>
    <w:rsid w:val="00227A42"/>
    <w:rsid w:val="00233930"/>
    <w:rsid w:val="00234B6D"/>
    <w:rsid w:val="0023686B"/>
    <w:rsid w:val="00241216"/>
    <w:rsid w:val="00243970"/>
    <w:rsid w:val="00245C3D"/>
    <w:rsid w:val="00267760"/>
    <w:rsid w:val="00271032"/>
    <w:rsid w:val="00273275"/>
    <w:rsid w:val="0027592D"/>
    <w:rsid w:val="00284DFA"/>
    <w:rsid w:val="00294694"/>
    <w:rsid w:val="00296192"/>
    <w:rsid w:val="002A0E77"/>
    <w:rsid w:val="002A314A"/>
    <w:rsid w:val="002B07C2"/>
    <w:rsid w:val="002C7963"/>
    <w:rsid w:val="002E712E"/>
    <w:rsid w:val="002F00B1"/>
    <w:rsid w:val="00313CE5"/>
    <w:rsid w:val="00342C37"/>
    <w:rsid w:val="00352686"/>
    <w:rsid w:val="00353033"/>
    <w:rsid w:val="003554DD"/>
    <w:rsid w:val="00360BF2"/>
    <w:rsid w:val="00364827"/>
    <w:rsid w:val="0036799D"/>
    <w:rsid w:val="00374616"/>
    <w:rsid w:val="0038564D"/>
    <w:rsid w:val="003934B7"/>
    <w:rsid w:val="00393DD3"/>
    <w:rsid w:val="003A64DA"/>
    <w:rsid w:val="003B2475"/>
    <w:rsid w:val="003B568D"/>
    <w:rsid w:val="003C0849"/>
    <w:rsid w:val="003D3447"/>
    <w:rsid w:val="003D3FB2"/>
    <w:rsid w:val="003E5C24"/>
    <w:rsid w:val="00410F01"/>
    <w:rsid w:val="00424D24"/>
    <w:rsid w:val="00432318"/>
    <w:rsid w:val="00434A97"/>
    <w:rsid w:val="0045215C"/>
    <w:rsid w:val="00456257"/>
    <w:rsid w:val="004575AC"/>
    <w:rsid w:val="004656D8"/>
    <w:rsid w:val="0047687F"/>
    <w:rsid w:val="0048155C"/>
    <w:rsid w:val="004A06CB"/>
    <w:rsid w:val="004A140E"/>
    <w:rsid w:val="004A2934"/>
    <w:rsid w:val="004B0046"/>
    <w:rsid w:val="004B73D8"/>
    <w:rsid w:val="004E3616"/>
    <w:rsid w:val="004E4001"/>
    <w:rsid w:val="00527CE6"/>
    <w:rsid w:val="0053252C"/>
    <w:rsid w:val="00545160"/>
    <w:rsid w:val="005504AB"/>
    <w:rsid w:val="00550C8E"/>
    <w:rsid w:val="00574B11"/>
    <w:rsid w:val="00593A5A"/>
    <w:rsid w:val="005B4365"/>
    <w:rsid w:val="005B47C2"/>
    <w:rsid w:val="005C6203"/>
    <w:rsid w:val="005D2CDB"/>
    <w:rsid w:val="005D3090"/>
    <w:rsid w:val="005D4B00"/>
    <w:rsid w:val="005E4AF3"/>
    <w:rsid w:val="005E7940"/>
    <w:rsid w:val="006100E7"/>
    <w:rsid w:val="00646084"/>
    <w:rsid w:val="00646976"/>
    <w:rsid w:val="00683863"/>
    <w:rsid w:val="006A4B4B"/>
    <w:rsid w:val="006B797A"/>
    <w:rsid w:val="006B7ECE"/>
    <w:rsid w:val="006D0143"/>
    <w:rsid w:val="006D4009"/>
    <w:rsid w:val="006D6965"/>
    <w:rsid w:val="006E1EB7"/>
    <w:rsid w:val="006E5D4A"/>
    <w:rsid w:val="006F2486"/>
    <w:rsid w:val="006F708C"/>
    <w:rsid w:val="00700DFF"/>
    <w:rsid w:val="0072273A"/>
    <w:rsid w:val="00723CE0"/>
    <w:rsid w:val="00723D98"/>
    <w:rsid w:val="007247F8"/>
    <w:rsid w:val="00730245"/>
    <w:rsid w:val="00742583"/>
    <w:rsid w:val="00743235"/>
    <w:rsid w:val="007549F5"/>
    <w:rsid w:val="00757CE2"/>
    <w:rsid w:val="007607D9"/>
    <w:rsid w:val="007608F7"/>
    <w:rsid w:val="00766B21"/>
    <w:rsid w:val="00784EFD"/>
    <w:rsid w:val="007855F8"/>
    <w:rsid w:val="007B23B4"/>
    <w:rsid w:val="007B68FF"/>
    <w:rsid w:val="007C0689"/>
    <w:rsid w:val="007C6D31"/>
    <w:rsid w:val="007E5BA8"/>
    <w:rsid w:val="007E6BB4"/>
    <w:rsid w:val="007F7E19"/>
    <w:rsid w:val="00800081"/>
    <w:rsid w:val="008017B8"/>
    <w:rsid w:val="0080574B"/>
    <w:rsid w:val="0081178B"/>
    <w:rsid w:val="00822007"/>
    <w:rsid w:val="00823953"/>
    <w:rsid w:val="00842E14"/>
    <w:rsid w:val="008741DC"/>
    <w:rsid w:val="008758C2"/>
    <w:rsid w:val="00881BD9"/>
    <w:rsid w:val="00887092"/>
    <w:rsid w:val="00890E35"/>
    <w:rsid w:val="00892911"/>
    <w:rsid w:val="008A523D"/>
    <w:rsid w:val="008B35FB"/>
    <w:rsid w:val="008B5ADA"/>
    <w:rsid w:val="008C492F"/>
    <w:rsid w:val="008C5082"/>
    <w:rsid w:val="008C70A3"/>
    <w:rsid w:val="008D39E5"/>
    <w:rsid w:val="008F6599"/>
    <w:rsid w:val="0090694D"/>
    <w:rsid w:val="00922216"/>
    <w:rsid w:val="009439E8"/>
    <w:rsid w:val="00947887"/>
    <w:rsid w:val="00950712"/>
    <w:rsid w:val="00951C43"/>
    <w:rsid w:val="009526C8"/>
    <w:rsid w:val="00960124"/>
    <w:rsid w:val="00972FEE"/>
    <w:rsid w:val="00976D98"/>
    <w:rsid w:val="00977610"/>
    <w:rsid w:val="00981943"/>
    <w:rsid w:val="009943BC"/>
    <w:rsid w:val="00996741"/>
    <w:rsid w:val="009A442B"/>
    <w:rsid w:val="009B4F00"/>
    <w:rsid w:val="009D3DDA"/>
    <w:rsid w:val="009D628F"/>
    <w:rsid w:val="009E2BC5"/>
    <w:rsid w:val="009E4580"/>
    <w:rsid w:val="009F79A1"/>
    <w:rsid w:val="00A0546F"/>
    <w:rsid w:val="00A065C8"/>
    <w:rsid w:val="00A144E1"/>
    <w:rsid w:val="00A1532C"/>
    <w:rsid w:val="00A213F1"/>
    <w:rsid w:val="00A25A4C"/>
    <w:rsid w:val="00A35594"/>
    <w:rsid w:val="00A41BD6"/>
    <w:rsid w:val="00A45C24"/>
    <w:rsid w:val="00A57D3B"/>
    <w:rsid w:val="00A6389B"/>
    <w:rsid w:val="00A65BF8"/>
    <w:rsid w:val="00A65FC9"/>
    <w:rsid w:val="00A72A8D"/>
    <w:rsid w:val="00AA796E"/>
    <w:rsid w:val="00AB183B"/>
    <w:rsid w:val="00AD320F"/>
    <w:rsid w:val="00AD3610"/>
    <w:rsid w:val="00AE3BD6"/>
    <w:rsid w:val="00AF243A"/>
    <w:rsid w:val="00AF663C"/>
    <w:rsid w:val="00AF73E5"/>
    <w:rsid w:val="00B12DF6"/>
    <w:rsid w:val="00B27786"/>
    <w:rsid w:val="00B42040"/>
    <w:rsid w:val="00B571C2"/>
    <w:rsid w:val="00B756F5"/>
    <w:rsid w:val="00BA1981"/>
    <w:rsid w:val="00BA72F9"/>
    <w:rsid w:val="00BB314A"/>
    <w:rsid w:val="00BC1D54"/>
    <w:rsid w:val="00BE2AE9"/>
    <w:rsid w:val="00C0150B"/>
    <w:rsid w:val="00C04746"/>
    <w:rsid w:val="00C11C1A"/>
    <w:rsid w:val="00C124D8"/>
    <w:rsid w:val="00C163A7"/>
    <w:rsid w:val="00C218C2"/>
    <w:rsid w:val="00C3608E"/>
    <w:rsid w:val="00C4144C"/>
    <w:rsid w:val="00C42BA6"/>
    <w:rsid w:val="00C5225F"/>
    <w:rsid w:val="00C535C9"/>
    <w:rsid w:val="00C5538B"/>
    <w:rsid w:val="00C86C00"/>
    <w:rsid w:val="00CD45E9"/>
    <w:rsid w:val="00D00AF3"/>
    <w:rsid w:val="00D10124"/>
    <w:rsid w:val="00D102F5"/>
    <w:rsid w:val="00D10729"/>
    <w:rsid w:val="00D173CE"/>
    <w:rsid w:val="00D26454"/>
    <w:rsid w:val="00D3242F"/>
    <w:rsid w:val="00D37503"/>
    <w:rsid w:val="00D44676"/>
    <w:rsid w:val="00D92D87"/>
    <w:rsid w:val="00D94A5C"/>
    <w:rsid w:val="00DA0E37"/>
    <w:rsid w:val="00DA5A00"/>
    <w:rsid w:val="00DB01E6"/>
    <w:rsid w:val="00DB633B"/>
    <w:rsid w:val="00DC1F91"/>
    <w:rsid w:val="00DC243C"/>
    <w:rsid w:val="00DC4B07"/>
    <w:rsid w:val="00DC55E1"/>
    <w:rsid w:val="00DD0E04"/>
    <w:rsid w:val="00DE2374"/>
    <w:rsid w:val="00DF297E"/>
    <w:rsid w:val="00DF5569"/>
    <w:rsid w:val="00E0454B"/>
    <w:rsid w:val="00E133CD"/>
    <w:rsid w:val="00E14BFA"/>
    <w:rsid w:val="00E15FD4"/>
    <w:rsid w:val="00E30C9D"/>
    <w:rsid w:val="00E3504B"/>
    <w:rsid w:val="00E45D9E"/>
    <w:rsid w:val="00E51053"/>
    <w:rsid w:val="00E65C90"/>
    <w:rsid w:val="00E7616D"/>
    <w:rsid w:val="00E8281E"/>
    <w:rsid w:val="00E86FAD"/>
    <w:rsid w:val="00E93583"/>
    <w:rsid w:val="00EB563A"/>
    <w:rsid w:val="00EC6670"/>
    <w:rsid w:val="00EC693B"/>
    <w:rsid w:val="00EE1727"/>
    <w:rsid w:val="00EE1E17"/>
    <w:rsid w:val="00EE7350"/>
    <w:rsid w:val="00F20969"/>
    <w:rsid w:val="00F318E7"/>
    <w:rsid w:val="00F61713"/>
    <w:rsid w:val="00F62E1D"/>
    <w:rsid w:val="00F63D67"/>
    <w:rsid w:val="00F65D94"/>
    <w:rsid w:val="00F81297"/>
    <w:rsid w:val="00F82CB3"/>
    <w:rsid w:val="00F87931"/>
    <w:rsid w:val="00F966F9"/>
    <w:rsid w:val="00FA36D0"/>
    <w:rsid w:val="00FA7770"/>
    <w:rsid w:val="00FB49C7"/>
    <w:rsid w:val="00FB6AE5"/>
    <w:rsid w:val="00FC4D6D"/>
    <w:rsid w:val="00FC67E2"/>
    <w:rsid w:val="00FE1114"/>
    <w:rsid w:val="00FE6AD2"/>
    <w:rsid w:val="00FF36A7"/>
    <w:rsid w:val="01160E97"/>
    <w:rsid w:val="02366375"/>
    <w:rsid w:val="023B766C"/>
    <w:rsid w:val="03AB4D7D"/>
    <w:rsid w:val="03C15BD5"/>
    <w:rsid w:val="054B262F"/>
    <w:rsid w:val="06255EFF"/>
    <w:rsid w:val="06AE2AF3"/>
    <w:rsid w:val="080D2662"/>
    <w:rsid w:val="083257FD"/>
    <w:rsid w:val="084E794C"/>
    <w:rsid w:val="08816355"/>
    <w:rsid w:val="095C4EFD"/>
    <w:rsid w:val="09CC2479"/>
    <w:rsid w:val="0A784653"/>
    <w:rsid w:val="0C7D73A5"/>
    <w:rsid w:val="0E1F1EB1"/>
    <w:rsid w:val="0EAA700E"/>
    <w:rsid w:val="0EF45637"/>
    <w:rsid w:val="0F0D683B"/>
    <w:rsid w:val="130F6453"/>
    <w:rsid w:val="14302A8C"/>
    <w:rsid w:val="14B07C57"/>
    <w:rsid w:val="153B65DE"/>
    <w:rsid w:val="166A0EEE"/>
    <w:rsid w:val="166D65D9"/>
    <w:rsid w:val="175440E6"/>
    <w:rsid w:val="17603736"/>
    <w:rsid w:val="189D263B"/>
    <w:rsid w:val="18AD236C"/>
    <w:rsid w:val="19BA0DBD"/>
    <w:rsid w:val="1A216A65"/>
    <w:rsid w:val="1A69091E"/>
    <w:rsid w:val="1B61067A"/>
    <w:rsid w:val="1D04194A"/>
    <w:rsid w:val="1D052415"/>
    <w:rsid w:val="1E830843"/>
    <w:rsid w:val="1EC45B14"/>
    <w:rsid w:val="1F130DAC"/>
    <w:rsid w:val="1FFE2705"/>
    <w:rsid w:val="203409FC"/>
    <w:rsid w:val="210A22A1"/>
    <w:rsid w:val="21597F48"/>
    <w:rsid w:val="21801B0C"/>
    <w:rsid w:val="22285C0A"/>
    <w:rsid w:val="250908B9"/>
    <w:rsid w:val="25693E3E"/>
    <w:rsid w:val="256F2CDE"/>
    <w:rsid w:val="27454EAF"/>
    <w:rsid w:val="2779095F"/>
    <w:rsid w:val="27DF2454"/>
    <w:rsid w:val="27F20E2F"/>
    <w:rsid w:val="281A5841"/>
    <w:rsid w:val="282D4176"/>
    <w:rsid w:val="28F8218D"/>
    <w:rsid w:val="29A72544"/>
    <w:rsid w:val="29D01359"/>
    <w:rsid w:val="2B241C6B"/>
    <w:rsid w:val="2D82352C"/>
    <w:rsid w:val="2EA41147"/>
    <w:rsid w:val="2EB87A56"/>
    <w:rsid w:val="2EFC495F"/>
    <w:rsid w:val="2F3C1B38"/>
    <w:rsid w:val="2FB83CB3"/>
    <w:rsid w:val="2FEE164B"/>
    <w:rsid w:val="300F3243"/>
    <w:rsid w:val="302325B6"/>
    <w:rsid w:val="304441B4"/>
    <w:rsid w:val="31590F48"/>
    <w:rsid w:val="325F3361"/>
    <w:rsid w:val="32712B19"/>
    <w:rsid w:val="32907C03"/>
    <w:rsid w:val="33E65004"/>
    <w:rsid w:val="34744D19"/>
    <w:rsid w:val="34D56452"/>
    <w:rsid w:val="34E74B4B"/>
    <w:rsid w:val="34F01D3D"/>
    <w:rsid w:val="35E439C0"/>
    <w:rsid w:val="35F83CBA"/>
    <w:rsid w:val="389B1938"/>
    <w:rsid w:val="38CC68DA"/>
    <w:rsid w:val="38DA41ED"/>
    <w:rsid w:val="39305D17"/>
    <w:rsid w:val="3AE258CD"/>
    <w:rsid w:val="3AE67AC0"/>
    <w:rsid w:val="3AF30A42"/>
    <w:rsid w:val="3C510382"/>
    <w:rsid w:val="3D6C724F"/>
    <w:rsid w:val="3E6A0B57"/>
    <w:rsid w:val="40FE2C98"/>
    <w:rsid w:val="410414CD"/>
    <w:rsid w:val="412A6066"/>
    <w:rsid w:val="41E44AA7"/>
    <w:rsid w:val="43ED5282"/>
    <w:rsid w:val="44BC57E7"/>
    <w:rsid w:val="44CB78EB"/>
    <w:rsid w:val="465411BA"/>
    <w:rsid w:val="46752C44"/>
    <w:rsid w:val="4895402C"/>
    <w:rsid w:val="49070F35"/>
    <w:rsid w:val="4A2A7E6B"/>
    <w:rsid w:val="4B0E0E0B"/>
    <w:rsid w:val="4BC32A55"/>
    <w:rsid w:val="4CD65EC8"/>
    <w:rsid w:val="4E052D7C"/>
    <w:rsid w:val="4E5B45C3"/>
    <w:rsid w:val="4EBC1A69"/>
    <w:rsid w:val="4EFA3EC4"/>
    <w:rsid w:val="4F684014"/>
    <w:rsid w:val="4FAC03A1"/>
    <w:rsid w:val="4FDA7E67"/>
    <w:rsid w:val="50922842"/>
    <w:rsid w:val="51556C0F"/>
    <w:rsid w:val="517A3AD7"/>
    <w:rsid w:val="51F74CB5"/>
    <w:rsid w:val="52F24BBA"/>
    <w:rsid w:val="532F6A9D"/>
    <w:rsid w:val="55635BD3"/>
    <w:rsid w:val="559E56DC"/>
    <w:rsid w:val="561F6FFA"/>
    <w:rsid w:val="563C5019"/>
    <w:rsid w:val="570A7517"/>
    <w:rsid w:val="57533E35"/>
    <w:rsid w:val="590F721D"/>
    <w:rsid w:val="596D6F1E"/>
    <w:rsid w:val="5D585C45"/>
    <w:rsid w:val="5D9546FA"/>
    <w:rsid w:val="5DA7040D"/>
    <w:rsid w:val="60780BC8"/>
    <w:rsid w:val="60DA61C2"/>
    <w:rsid w:val="61AC58ED"/>
    <w:rsid w:val="61DA2B99"/>
    <w:rsid w:val="64864D62"/>
    <w:rsid w:val="648C1CA9"/>
    <w:rsid w:val="65546327"/>
    <w:rsid w:val="6733171E"/>
    <w:rsid w:val="6737224A"/>
    <w:rsid w:val="675C6BB1"/>
    <w:rsid w:val="683A2222"/>
    <w:rsid w:val="685F7D54"/>
    <w:rsid w:val="698C3997"/>
    <w:rsid w:val="6A021961"/>
    <w:rsid w:val="6B5912E8"/>
    <w:rsid w:val="6BC07407"/>
    <w:rsid w:val="6CF26828"/>
    <w:rsid w:val="6CF548D2"/>
    <w:rsid w:val="6D4678A5"/>
    <w:rsid w:val="6DBC4496"/>
    <w:rsid w:val="6F777D98"/>
    <w:rsid w:val="70A11C97"/>
    <w:rsid w:val="72E07C73"/>
    <w:rsid w:val="750E2A92"/>
    <w:rsid w:val="75866433"/>
    <w:rsid w:val="75885BD2"/>
    <w:rsid w:val="75F32B7D"/>
    <w:rsid w:val="76AD7901"/>
    <w:rsid w:val="78725AA4"/>
    <w:rsid w:val="78BB6EAA"/>
    <w:rsid w:val="78C77A79"/>
    <w:rsid w:val="78E41381"/>
    <w:rsid w:val="792F203E"/>
    <w:rsid w:val="7ACB38A1"/>
    <w:rsid w:val="7B2378E9"/>
    <w:rsid w:val="7BB611F7"/>
    <w:rsid w:val="7C1D7EAA"/>
    <w:rsid w:val="7CCE580E"/>
    <w:rsid w:val="7CF60B06"/>
    <w:rsid w:val="7E0173A1"/>
    <w:rsid w:val="7E3D5DCD"/>
    <w:rsid w:val="7E925CC0"/>
    <w:rsid w:val="7FBE1CF5"/>
    <w:rsid w:val="7FE53CAE"/>
    <w:rsid w:val="7FF20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7"/>
    <w:qFormat/>
    <w:uiPriority w:val="0"/>
    <w:pPr>
      <w:jc w:val="left"/>
    </w:pPr>
  </w:style>
  <w:style w:type="paragraph" w:styleId="3">
    <w:name w:val="Body Text"/>
    <w:basedOn w:val="1"/>
    <w:link w:val="43"/>
    <w:qFormat/>
    <w:uiPriority w:val="0"/>
    <w:pPr>
      <w:widowControl/>
      <w:spacing w:before="180" w:after="180"/>
      <w:jc w:val="left"/>
    </w:pPr>
    <w:rPr>
      <w:rFonts w:ascii="Cambria" w:hAnsi="Cambria"/>
      <w:kern w:val="0"/>
      <w:sz w:val="24"/>
      <w:lang w:val="en" w:eastAsia="en-US"/>
    </w:rPr>
  </w:style>
  <w:style w:type="paragraph" w:styleId="4">
    <w:name w:val="Plain Text"/>
    <w:basedOn w:val="1"/>
    <w:link w:val="20"/>
    <w:qFormat/>
    <w:uiPriority w:val="0"/>
    <w:rPr>
      <w:rFonts w:ascii="宋体" w:hAnsi="Courier New" w:cs="Courier New"/>
      <w:bCs/>
      <w:szCs w:val="21"/>
    </w:rPr>
  </w:style>
  <w:style w:type="paragraph" w:styleId="5">
    <w:name w:val="Balloon Text"/>
    <w:basedOn w:val="1"/>
    <w:link w:val="29"/>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link w:val="3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footnote text"/>
    <w:basedOn w:val="1"/>
    <w:link w:val="22"/>
    <w:qFormat/>
    <w:uiPriority w:val="0"/>
    <w:pPr>
      <w:snapToGrid w:val="0"/>
      <w:jc w:val="left"/>
    </w:pPr>
    <w:rPr>
      <w:rFonts w:ascii="Calibri" w:hAnsi="Calibri" w:eastAsia="微软雅黑"/>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0">
    <w:name w:val="annotation subject"/>
    <w:basedOn w:val="2"/>
    <w:next w:val="2"/>
    <w:link w:val="32"/>
    <w:qFormat/>
    <w:uiPriority w:val="0"/>
    <w:rPr>
      <w:b/>
      <w:bCs/>
    </w:rPr>
  </w:style>
  <w:style w:type="character" w:styleId="13">
    <w:name w:val="Strong"/>
    <w:qFormat/>
    <w:uiPriority w:val="0"/>
    <w:rPr>
      <w:rFonts w:cs="Times New Roman"/>
      <w:b/>
      <w:sz w:val="24"/>
      <w:szCs w:val="24"/>
    </w:rPr>
  </w:style>
  <w:style w:type="character" w:styleId="14">
    <w:name w:val="FollowedHyperlink"/>
    <w:qFormat/>
    <w:uiPriority w:val="0"/>
    <w:rPr>
      <w:color w:val="741274"/>
      <w:u w:val="single"/>
    </w:rPr>
  </w:style>
  <w:style w:type="character" w:styleId="15">
    <w:name w:val="Emphasis"/>
    <w:qFormat/>
    <w:uiPriority w:val="0"/>
    <w:rPr>
      <w:color w:val="CC0000"/>
    </w:rPr>
  </w:style>
  <w:style w:type="character" w:styleId="16">
    <w:name w:val="Hyperlink"/>
    <w:unhideWhenUsed/>
    <w:qFormat/>
    <w:uiPriority w:val="0"/>
    <w:rPr>
      <w:color w:val="0000FF"/>
      <w:u w:val="single"/>
    </w:rPr>
  </w:style>
  <w:style w:type="character" w:styleId="17">
    <w:name w:val="annotation reference"/>
    <w:qFormat/>
    <w:uiPriority w:val="0"/>
    <w:rPr>
      <w:sz w:val="21"/>
      <w:szCs w:val="21"/>
    </w:rPr>
  </w:style>
  <w:style w:type="character" w:styleId="18">
    <w:name w:val="HTML Cite"/>
    <w:qFormat/>
    <w:uiPriority w:val="0"/>
    <w:rPr>
      <w:color w:val="008000"/>
    </w:rPr>
  </w:style>
  <w:style w:type="character" w:styleId="19">
    <w:name w:val="footnote reference"/>
    <w:qFormat/>
    <w:uiPriority w:val="0"/>
    <w:rPr>
      <w:vertAlign w:val="superscript"/>
    </w:rPr>
  </w:style>
  <w:style w:type="character" w:customStyle="1" w:styleId="20">
    <w:name w:val="纯文本 字符"/>
    <w:link w:val="4"/>
    <w:qFormat/>
    <w:uiPriority w:val="0"/>
    <w:rPr>
      <w:rFonts w:ascii="宋体" w:hAnsi="Courier New" w:eastAsia="宋体" w:cs="Courier New"/>
      <w:bCs/>
      <w:kern w:val="2"/>
      <w:sz w:val="21"/>
      <w:szCs w:val="21"/>
      <w:lang w:val="en-US" w:eastAsia="zh-CN" w:bidi="ar-SA"/>
    </w:rPr>
  </w:style>
  <w:style w:type="character" w:customStyle="1" w:styleId="21">
    <w:name w:val="页脚 字符"/>
    <w:link w:val="6"/>
    <w:qFormat/>
    <w:uiPriority w:val="99"/>
    <w:rPr>
      <w:kern w:val="2"/>
      <w:sz w:val="18"/>
      <w:szCs w:val="18"/>
    </w:rPr>
  </w:style>
  <w:style w:type="character" w:customStyle="1" w:styleId="22">
    <w:name w:val="脚注文本 字符"/>
    <w:link w:val="8"/>
    <w:qFormat/>
    <w:uiPriority w:val="0"/>
    <w:rPr>
      <w:rFonts w:hint="default" w:ascii="Calibri" w:hAnsi="Calibri" w:eastAsia="微软雅黑" w:cs="Times New Roman"/>
      <w:kern w:val="2"/>
      <w:sz w:val="18"/>
      <w:szCs w:val="18"/>
    </w:rPr>
  </w:style>
  <w:style w:type="character" w:customStyle="1" w:styleId="23">
    <w:name w:val="font41"/>
    <w:qFormat/>
    <w:uiPriority w:val="0"/>
    <w:rPr>
      <w:rFonts w:hint="default" w:ascii="Times New Roman" w:hAnsi="Times New Roman" w:cs="Times New Roman"/>
      <w:b/>
      <w:color w:val="000000"/>
      <w:sz w:val="22"/>
      <w:szCs w:val="22"/>
      <w:u w:val="none"/>
    </w:rPr>
  </w:style>
  <w:style w:type="character" w:customStyle="1" w:styleId="24">
    <w:name w:val="font21"/>
    <w:qFormat/>
    <w:uiPriority w:val="0"/>
    <w:rPr>
      <w:rFonts w:hint="eastAsia" w:ascii="宋体" w:hAnsi="宋体" w:eastAsia="宋体" w:cs="宋体"/>
      <w:b/>
      <w:color w:val="000000"/>
      <w:sz w:val="22"/>
      <w:szCs w:val="22"/>
      <w:u w:val="none"/>
    </w:rPr>
  </w:style>
  <w:style w:type="character" w:customStyle="1" w:styleId="25">
    <w:name w:val="font31"/>
    <w:qFormat/>
    <w:uiPriority w:val="0"/>
    <w:rPr>
      <w:rFonts w:ascii="楷体" w:hAnsi="楷体" w:eastAsia="楷体" w:cs="楷体"/>
      <w:b/>
      <w:color w:val="000000"/>
      <w:sz w:val="22"/>
      <w:szCs w:val="22"/>
      <w:u w:val="none"/>
    </w:rPr>
  </w:style>
  <w:style w:type="character" w:customStyle="1" w:styleId="26">
    <w:name w:val="font11"/>
    <w:qFormat/>
    <w:uiPriority w:val="0"/>
    <w:rPr>
      <w:rFonts w:hint="eastAsia" w:ascii="楷体" w:hAnsi="楷体" w:eastAsia="楷体" w:cs="楷体"/>
      <w:color w:val="000000"/>
      <w:sz w:val="21"/>
      <w:szCs w:val="21"/>
      <w:u w:val="none"/>
    </w:rPr>
  </w:style>
  <w:style w:type="paragraph" w:customStyle="1" w:styleId="27">
    <w:name w:val="Char Char Char Char"/>
    <w:basedOn w:val="1"/>
    <w:qFormat/>
    <w:uiPriority w:val="0"/>
    <w:pPr>
      <w:adjustRightInd w:val="0"/>
      <w:spacing w:line="360" w:lineRule="atLeast"/>
      <w:textAlignment w:val="baseline"/>
    </w:pPr>
  </w:style>
  <w:style w:type="paragraph" w:styleId="28">
    <w:name w:val="List Paragraph"/>
    <w:basedOn w:val="1"/>
    <w:qFormat/>
    <w:uiPriority w:val="34"/>
    <w:pPr>
      <w:autoSpaceDE w:val="0"/>
      <w:autoSpaceDN w:val="0"/>
      <w:adjustRightInd w:val="0"/>
      <w:jc w:val="left"/>
    </w:pPr>
    <w:rPr>
      <w:kern w:val="0"/>
      <w:sz w:val="24"/>
    </w:rPr>
  </w:style>
  <w:style w:type="character" w:customStyle="1" w:styleId="29">
    <w:name w:val="批注框文本 字符"/>
    <w:link w:val="5"/>
    <w:qFormat/>
    <w:uiPriority w:val="0"/>
    <w:rPr>
      <w:kern w:val="2"/>
      <w:sz w:val="18"/>
      <w:szCs w:val="18"/>
    </w:rPr>
  </w:style>
  <w:style w:type="character" w:customStyle="1" w:styleId="30">
    <w:name w:val="批注文字 字符"/>
    <w:qFormat/>
    <w:uiPriority w:val="0"/>
    <w:rPr>
      <w:kern w:val="2"/>
      <w:sz w:val="21"/>
      <w:szCs w:val="24"/>
    </w:rPr>
  </w:style>
  <w:style w:type="character" w:customStyle="1" w:styleId="31">
    <w:name w:val="Char Char1"/>
    <w:qFormat/>
    <w:uiPriority w:val="0"/>
    <w:rPr>
      <w:rFonts w:hint="default" w:ascii="Calibri" w:hAnsi="Calibri" w:eastAsia="微软雅黑" w:cs="Times New Roman"/>
      <w:kern w:val="2"/>
      <w:sz w:val="18"/>
      <w:szCs w:val="18"/>
    </w:rPr>
  </w:style>
  <w:style w:type="character" w:customStyle="1" w:styleId="32">
    <w:name w:val="批注主题 字符"/>
    <w:link w:val="10"/>
    <w:qFormat/>
    <w:uiPriority w:val="0"/>
    <w:rPr>
      <w:b/>
      <w:bCs/>
      <w:kern w:val="2"/>
      <w:sz w:val="21"/>
      <w:szCs w:val="24"/>
    </w:rPr>
  </w:style>
  <w:style w:type="character" w:customStyle="1" w:styleId="33">
    <w:name w:val="页眉 字符"/>
    <w:link w:val="7"/>
    <w:qFormat/>
    <w:uiPriority w:val="0"/>
    <w:rPr>
      <w:kern w:val="2"/>
      <w:sz w:val="18"/>
      <w:szCs w:val="24"/>
    </w:rPr>
  </w:style>
  <w:style w:type="character" w:customStyle="1" w:styleId="34">
    <w:name w:val="sugg-loading"/>
    <w:qFormat/>
    <w:uiPriority w:val="0"/>
  </w:style>
  <w:style w:type="character" w:customStyle="1" w:styleId="35">
    <w:name w:val="page-cur"/>
    <w:qFormat/>
    <w:uiPriority w:val="0"/>
    <w:rPr>
      <w:b/>
      <w:color w:val="333333"/>
      <w:bdr w:val="single" w:color="E5E5E5" w:sz="6" w:space="0"/>
      <w:shd w:val="clear" w:color="auto" w:fill="F2F2F2"/>
    </w:rPr>
  </w:style>
  <w:style w:type="character" w:customStyle="1" w:styleId="36">
    <w:name w:val="批注框文本 字符1"/>
    <w:basedOn w:val="12"/>
    <w:qFormat/>
    <w:uiPriority w:val="0"/>
    <w:rPr>
      <w:rFonts w:ascii="宋体"/>
      <w:kern w:val="2"/>
      <w:sz w:val="18"/>
      <w:szCs w:val="18"/>
    </w:rPr>
  </w:style>
  <w:style w:type="character" w:customStyle="1" w:styleId="37">
    <w:name w:val="批注文字 字符1"/>
    <w:basedOn w:val="12"/>
    <w:link w:val="2"/>
    <w:qFormat/>
    <w:uiPriority w:val="0"/>
    <w:rPr>
      <w:kern w:val="2"/>
      <w:sz w:val="21"/>
      <w:szCs w:val="24"/>
    </w:rPr>
  </w:style>
  <w:style w:type="character" w:customStyle="1" w:styleId="38">
    <w:name w:val="批注主题 字符1"/>
    <w:basedOn w:val="37"/>
    <w:qFormat/>
    <w:uiPriority w:val="0"/>
    <w:rPr>
      <w:b/>
      <w:bCs/>
      <w:kern w:val="2"/>
      <w:sz w:val="21"/>
      <w:szCs w:val="24"/>
    </w:rPr>
  </w:style>
  <w:style w:type="paragraph" w:customStyle="1" w:styleId="39">
    <w:name w:val="正文1"/>
    <w:basedOn w:val="1"/>
    <w:qFormat/>
    <w:uiPriority w:val="0"/>
    <w:pPr>
      <w:widowControl/>
    </w:pPr>
    <w:rPr>
      <w:szCs w:val="21"/>
    </w:rPr>
  </w:style>
  <w:style w:type="paragraph" w:customStyle="1" w:styleId="4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42">
    <w:name w:val="Revision"/>
    <w:unhideWhenUsed/>
    <w:qFormat/>
    <w:uiPriority w:val="99"/>
    <w:rPr>
      <w:rFonts w:ascii="Times New Roman" w:hAnsi="Times New Roman" w:eastAsia="宋体" w:cs="Times New Roman"/>
      <w:kern w:val="2"/>
      <w:sz w:val="21"/>
      <w:szCs w:val="24"/>
      <w:lang w:val="en-US" w:eastAsia="zh-CN" w:bidi="ar-SA"/>
    </w:rPr>
  </w:style>
  <w:style w:type="character" w:customStyle="1" w:styleId="43">
    <w:name w:val="正文文本 字符"/>
    <w:basedOn w:val="12"/>
    <w:link w:val="3"/>
    <w:qFormat/>
    <w:uiPriority w:val="0"/>
    <w:rPr>
      <w:rFonts w:ascii="Cambria" w:hAnsi="Cambria"/>
      <w:sz w:val="24"/>
      <w:szCs w:val="24"/>
      <w:lang w:val="en" w:eastAsia="en-US"/>
    </w:rPr>
  </w:style>
  <w:style w:type="table" w:customStyle="1" w:styleId="44">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45">
    <w:name w:val="Table Paragraph"/>
    <w:basedOn w:val="1"/>
    <w:qFormat/>
    <w:uiPriority w:val="1"/>
    <w:pPr>
      <w:autoSpaceDE w:val="0"/>
      <w:autoSpaceDN w:val="0"/>
      <w:jc w:val="left"/>
    </w:pPr>
    <w:rPr>
      <w:rFonts w:ascii="宋体" w:hAnsi="宋体" w:cs="宋体"/>
      <w:kern w:val="0"/>
      <w:sz w:val="22"/>
      <w:szCs w:val="22"/>
      <w:lang w:val="zh-CN" w:bidi="zh-CN"/>
    </w:rPr>
  </w:style>
  <w:style w:type="character" w:customStyle="1" w:styleId="46">
    <w:name w:val="纯文本 Char1"/>
    <w:qFormat/>
    <w:locked/>
    <w:uiPriority w:val="0"/>
    <w:rPr>
      <w:rFonts w:ascii="宋体" w:hAnsi="Courier New" w:cs="宋体"/>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D67201-B9B1-3641-BAFA-8CD07F8FFAC3}">
  <ds:schemaRefs/>
</ds:datastoreItem>
</file>

<file path=docProps/app.xml><?xml version="1.0" encoding="utf-8"?>
<Properties xmlns="http://schemas.openxmlformats.org/officeDocument/2006/extended-properties" xmlns:vt="http://schemas.openxmlformats.org/officeDocument/2006/docPropsVTypes">
  <Template>Normal.dotm</Template>
  <Company>NanFang</Company>
  <Pages>38</Pages>
  <Words>3385</Words>
  <Characters>19297</Characters>
  <Lines>160</Lines>
  <Paragraphs>45</Paragraphs>
  <TotalTime>78</TotalTime>
  <ScaleCrop>false</ScaleCrop>
  <LinksUpToDate>false</LinksUpToDate>
  <CharactersWithSpaces>22637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2021-06-20T09:11:00Z</dcterms:created>
  <dc:creator>微软用户</dc:creator>
  <cp:lastModifiedBy>春晓</cp:lastModifiedBy>
  <cp:lastPrinted>2021-04-21T01:57:00Z</cp:lastPrinted>
  <dcterms:modified xsi:type="dcterms:W3CDTF">2021-07-27T03:46:05Z</dcterms:modified>
  <dc:title>附件2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25E2BEC3AFCF4B5283421E9D3C654191</vt:lpwstr>
  </property>
</Properties>
</file>