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黑体"/>
          <w:sz w:val="32"/>
          <w:szCs w:val="32"/>
        </w:rPr>
      </w:pPr>
      <w:r>
        <w:rPr>
          <w:rFonts w:eastAsia="黑体"/>
          <w:sz w:val="32"/>
          <w:szCs w:val="32"/>
        </w:rPr>
        <w:t>广州</w:t>
      </w:r>
      <w:r>
        <w:rPr>
          <w:rFonts w:hint="eastAsia" w:eastAsia="黑体"/>
          <w:sz w:val="32"/>
          <w:szCs w:val="32"/>
        </w:rPr>
        <w:t>南方学院</w:t>
      </w:r>
    </w:p>
    <w:p>
      <w:pPr>
        <w:spacing w:line="360" w:lineRule="auto"/>
        <w:jc w:val="center"/>
        <w:rPr>
          <w:rFonts w:eastAsia="黑体"/>
          <w:sz w:val="32"/>
          <w:szCs w:val="32"/>
        </w:rPr>
      </w:pPr>
      <w:r>
        <w:rPr>
          <w:rFonts w:hint="eastAsia" w:eastAsia="黑体"/>
          <w:sz w:val="32"/>
          <w:szCs w:val="32"/>
        </w:rPr>
        <w:t>健康服务与管理</w:t>
      </w:r>
      <w:r>
        <w:rPr>
          <w:rFonts w:eastAsia="黑体"/>
          <w:sz w:val="32"/>
          <w:szCs w:val="32"/>
        </w:rPr>
        <w:t>专业</w:t>
      </w:r>
      <w:r>
        <w:rPr>
          <w:rFonts w:hint="eastAsia" w:eastAsia="黑体"/>
          <w:sz w:val="32"/>
          <w:szCs w:val="32"/>
        </w:rPr>
        <w:t>人才需求</w:t>
      </w:r>
      <w:r>
        <w:rPr>
          <w:rFonts w:eastAsia="黑体"/>
          <w:sz w:val="32"/>
          <w:szCs w:val="32"/>
        </w:rPr>
        <w:t>论证报告</w:t>
      </w:r>
    </w:p>
    <w:p>
      <w:pPr>
        <w:jc w:val="center"/>
        <w:rPr>
          <w:rFonts w:eastAsia="黑体"/>
          <w:sz w:val="32"/>
          <w:szCs w:val="32"/>
        </w:rPr>
      </w:pPr>
      <w:r>
        <w:rPr>
          <w:rFonts w:eastAsia="黑体"/>
          <w:sz w:val="32"/>
          <w:szCs w:val="32"/>
        </w:rPr>
        <w:t>2021-6-12</w:t>
      </w:r>
    </w:p>
    <w:p>
      <w:pPr>
        <w:jc w:val="center"/>
        <w:rPr>
          <w:rFonts w:eastAsia="黑体"/>
          <w:sz w:val="32"/>
          <w:szCs w:val="32"/>
        </w:rPr>
      </w:pPr>
    </w:p>
    <w:p>
      <w:pPr>
        <w:spacing w:before="140" w:line="360" w:lineRule="auto"/>
        <w:rPr>
          <w:rFonts w:eastAsia="黑体"/>
          <w:sz w:val="28"/>
          <w:szCs w:val="28"/>
        </w:rPr>
      </w:pPr>
      <w:r>
        <w:rPr>
          <w:rFonts w:eastAsia="黑体"/>
          <w:sz w:val="28"/>
          <w:szCs w:val="28"/>
        </w:rPr>
        <w:t>一、申办</w:t>
      </w:r>
      <w:r>
        <w:rPr>
          <w:rFonts w:hint="eastAsia" w:eastAsia="黑体"/>
          <w:sz w:val="28"/>
          <w:szCs w:val="28"/>
        </w:rPr>
        <w:t>健康服务与管理</w:t>
      </w:r>
      <w:r>
        <w:rPr>
          <w:rFonts w:eastAsia="黑体"/>
          <w:sz w:val="28"/>
          <w:szCs w:val="28"/>
        </w:rPr>
        <w:t>专业的必要性与可行性</w:t>
      </w:r>
    </w:p>
    <w:p>
      <w:pPr>
        <w:spacing w:line="360" w:lineRule="auto"/>
        <w:ind w:firstLine="448"/>
        <w:rPr>
          <w:rFonts w:eastAsia="黑体"/>
          <w:sz w:val="28"/>
          <w:szCs w:val="28"/>
        </w:rPr>
      </w:pPr>
      <w:r>
        <w:rPr>
          <w:rFonts w:eastAsia="黑体"/>
          <w:sz w:val="28"/>
          <w:szCs w:val="28"/>
        </w:rPr>
        <w:t>（一）申办</w:t>
      </w:r>
      <w:r>
        <w:rPr>
          <w:rFonts w:hint="eastAsia" w:eastAsia="黑体"/>
          <w:sz w:val="28"/>
          <w:szCs w:val="28"/>
        </w:rPr>
        <w:t>健康服务与管理</w:t>
      </w:r>
      <w:r>
        <w:rPr>
          <w:rFonts w:eastAsia="黑体"/>
          <w:sz w:val="28"/>
          <w:szCs w:val="28"/>
        </w:rPr>
        <w:t>专业的必要性</w:t>
      </w:r>
    </w:p>
    <w:p>
      <w:pPr>
        <w:shd w:val="clear" w:color="auto" w:fill="FFFFFF"/>
        <w:spacing w:line="360" w:lineRule="auto"/>
        <w:ind w:firstLine="616"/>
        <w:rPr>
          <w:rFonts w:ascii="宋体" w:hAnsi="宋体"/>
          <w:b/>
          <w:bCs/>
          <w:sz w:val="28"/>
          <w:szCs w:val="28"/>
        </w:rPr>
      </w:pPr>
      <w:r>
        <w:rPr>
          <w:b/>
          <w:bCs/>
          <w:sz w:val="28"/>
          <w:szCs w:val="28"/>
        </w:rPr>
        <w:t xml:space="preserve">1. </w:t>
      </w:r>
      <w:r>
        <w:rPr>
          <w:rFonts w:ascii="宋体" w:hAnsi="宋体"/>
          <w:b/>
          <w:bCs/>
          <w:sz w:val="28"/>
          <w:szCs w:val="28"/>
        </w:rPr>
        <w:t xml:space="preserve"> </w:t>
      </w:r>
      <w:r>
        <w:rPr>
          <w:rFonts w:hint="eastAsia" w:ascii="宋体" w:hAnsi="宋体"/>
          <w:b/>
          <w:bCs/>
          <w:sz w:val="28"/>
          <w:szCs w:val="28"/>
        </w:rPr>
        <w:t>遵循“健康中国”战略的总体要求</w:t>
      </w:r>
    </w:p>
    <w:p>
      <w:pPr>
        <w:spacing w:line="360" w:lineRule="auto"/>
        <w:ind w:firstLine="448"/>
        <w:rPr>
          <w:sz w:val="24"/>
        </w:rPr>
      </w:pPr>
      <w:r>
        <w:rPr>
          <w:sz w:val="24"/>
        </w:rPr>
        <w:t>2016年，国务院印发并实施了《“健康中国2030”规划纲要》（以下简称《纲要》，成为今后十五年推进健康中国建设的重要行动纲领。《纲要》明确提出推进健康中国建设，把“服务方式从以治病为中心转变为以人民健康为中心，建立健全健康教育体系，普及健康知识，引导群众建立正确健康观，加强早期干预，形成有利于健康的生活方式、生态环境和社会环境，延长健康寿命，为全方位全周期保障人民健康、建设健康中国奠定坚实基础”。预计到2030年，我国主要健康指标进入高收入国家行列，人均预期寿命从2015年的76.34岁增加到2030年的79.0岁。此外，《纲要》还指出要加大学校健康教育力度，将健康教育纳入国民教育体系，把健康教育作为所有教育阶段素质教育的重要内容。加强健康人力资源建设，加快药师和中医药健康服务、卫生应急、卫生信息化复合人才队伍建设，推进卫生管理人员专业化、职业化。同时，实施中医治未病健康工程，将中医药优势与健康管理结合，探索融健康文化、健康管理、健康保险为一体的中医健康保障模式。大力发展健康产业，提倡健康服务新业态，鼓励发展健康体检、咨询等健康服务，促进个性化健康管理服务发展，培育一批有特色的健康管理服务产业。</w:t>
      </w:r>
    </w:p>
    <w:p>
      <w:pPr>
        <w:spacing w:line="360" w:lineRule="auto"/>
        <w:ind w:firstLine="480" w:firstLineChars="200"/>
        <w:rPr>
          <w:sz w:val="24"/>
        </w:rPr>
      </w:pPr>
      <w:r>
        <w:rPr>
          <w:sz w:val="24"/>
        </w:rPr>
        <w:t>2018年，习近平总书记在党的十九大报告中明确提出实施“健康中国战略”，旨在全面提高人民健康水平、促进人民健康发展，为新时代建设健康中国明确了具体落实方案。习近平总书记进一步强调,要把人民健康放在优先发展的战略地位，以普及健康生活、优化健康服务、完善健康保障、建设健康环境、发展健康产业为重点，加快推进健康中国建设，努力全方位、全周期保障人民健康，为实现“两个一百年”奋斗目标、实现中华民族伟大复兴的中国梦打下坚实健康基础。同时，习近平总书记指出，中国特色社会主义新时代社会主要矛盾已经转化为“人民对美好生活的需要同不平衡不充分的发展之间的矛盾”，健康是美好生活的最基本条件，因此要“把人民健康放在优先发展的战略地位”，整合健康资源、健康产业，建设人人共建共享的健康中国。</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019</w:t>
      </w:r>
      <w:r>
        <w:rPr>
          <w:rFonts w:hint="eastAsia" w:ascii="宋体" w:hAnsi="宋体"/>
          <w:sz w:val="24"/>
        </w:rPr>
        <w:t>年，国务院印发的《健康中国行动2019-2030》围绕疾病预防和健康促进两大核心，</w:t>
      </w:r>
    </w:p>
    <w:p>
      <w:pPr>
        <w:spacing w:line="360" w:lineRule="auto"/>
        <w:rPr>
          <w:rFonts w:ascii="宋体" w:hAnsi="宋体"/>
          <w:sz w:val="24"/>
        </w:rPr>
      </w:pPr>
      <w:r>
        <w:rPr>
          <w:rFonts w:hint="eastAsia" w:ascii="宋体" w:hAnsi="宋体"/>
          <w:sz w:val="24"/>
        </w:rPr>
        <w:t>从干预健康影响因素、维护全生命周期健康和防控重大疾病等三方面提出实施控烟、心理健康</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促进、健康环境促进、中小学生健康促进行动、全面健身、心脑血管疾病防治、癌症防治等15项行动。目标到2030年，全民健康素养水平大幅提升，健康生活方式基本普及，居民主要健康影响因素得到有效控制，因重大慢性病导致的过早死亡率明显降低，人均预期寿命得到较大提高等。这是从国家层面上提出的健康管理行动，其中对于中老年以及中小学生群体都提到了相应的健康管理行动，对于健康管理行业发展提供了有力的支撑。</w:t>
      </w:r>
    </w:p>
    <w:p>
      <w:pPr>
        <w:spacing w:line="360" w:lineRule="auto"/>
        <w:ind w:firstLine="480" w:firstLineChars="200"/>
        <w:rPr>
          <w:rFonts w:ascii="宋体" w:hAnsi="宋体"/>
          <w:sz w:val="24"/>
        </w:rPr>
      </w:pPr>
      <w:r>
        <w:rPr>
          <w:rFonts w:hint="eastAsia" w:ascii="宋体" w:hAnsi="宋体"/>
          <w:sz w:val="24"/>
        </w:rPr>
        <w:t>2020年，《基本医疗卫生与健康促进法》的公布施行，这是我国卫生与健康领域的第一部基础性、综合性法律，也是推进卫生与健康领域治理体系和治理能力现代化的重要举措，对于促进我国卫生与健康领域法治建设，在卫生与健康工作中落实全面依法治国方略具有基础性和全局性的作用，对于构建中国特色基本医疗卫生制度，全方位、全周期保障人民健康，推进健康中国建设具有重要意义。</w:t>
      </w:r>
    </w:p>
    <w:p>
      <w:pPr>
        <w:spacing w:line="360" w:lineRule="auto"/>
        <w:ind w:firstLine="480" w:firstLineChars="200"/>
        <w:rPr>
          <w:rFonts w:ascii="宋体" w:hAnsi="宋体"/>
          <w:sz w:val="24"/>
        </w:rPr>
      </w:pPr>
      <w:r>
        <w:rPr>
          <w:rFonts w:ascii="宋体" w:hAnsi="宋体"/>
          <w:sz w:val="24"/>
        </w:rPr>
        <w:t>2021</w:t>
      </w:r>
      <w:r>
        <w:rPr>
          <w:rFonts w:hint="eastAsia" w:ascii="宋体" w:hAnsi="宋体"/>
          <w:sz w:val="24"/>
        </w:rPr>
        <w:t>年，国务院印发的《中华人民共和国国民经济和社会发展第十四个五年规划和2035年远景目标纲要》中提出全面推进健康中国建设。把保障人民健康放在优先发展的战略位置，坚持预防为主的方针，深入实施健康中国行动，完善国民健康促进政策，织牢国家公共卫生防护网，为人民提供全方位全生命期健康服务。同时，实施积极应对人口老龄化国家战略。制定人口长期发展战略，优化生育政策，以“一老一小”为重点完善人口服务体系，促进人口长期均衡发展。其中，在育儿方面，提出要加强对家庭照护和社区服务的支持指导，增强家庭科学育儿能力；在养老方面，提出要推动养老事业和养老产业协同发展，健全基本养老服务体系，大力发展普惠型养老服务，支持家庭承担养老功能，构建居家社区机构相协调、医养康养相结合的养老服务体系。</w:t>
      </w:r>
    </w:p>
    <w:p>
      <w:pPr>
        <w:shd w:val="clear" w:color="auto" w:fill="FFFFFF"/>
        <w:spacing w:line="360" w:lineRule="auto"/>
        <w:ind w:firstLine="616"/>
        <w:rPr>
          <w:b/>
          <w:bCs/>
          <w:sz w:val="28"/>
          <w:szCs w:val="28"/>
        </w:rPr>
      </w:pPr>
      <w:r>
        <w:rPr>
          <w:b/>
          <w:bCs/>
          <w:sz w:val="28"/>
          <w:szCs w:val="28"/>
        </w:rPr>
        <w:t xml:space="preserve">2.  </w:t>
      </w:r>
      <w:r>
        <w:rPr>
          <w:rFonts w:hint="eastAsia"/>
          <w:b/>
          <w:bCs/>
          <w:sz w:val="28"/>
          <w:szCs w:val="28"/>
        </w:rPr>
        <w:t>符合粤港澳大湾区建设的健康产业规划</w:t>
      </w:r>
    </w:p>
    <w:p>
      <w:pPr>
        <w:spacing w:line="360" w:lineRule="auto"/>
        <w:ind w:firstLine="480" w:firstLineChars="200"/>
        <w:rPr>
          <w:sz w:val="24"/>
        </w:rPr>
      </w:pPr>
      <w:r>
        <w:rPr>
          <w:sz w:val="24"/>
        </w:rPr>
        <w:t>2019年,中共中央、国务院印发《粤港澳大湾区发展规划纲要》，从国家战略发展全局出发，全面推进粤港澳大湾区建设，并将健康产业和中医药发展作为大湾区产业布局的重要内容。</w:t>
      </w:r>
      <w:r>
        <w:rPr>
          <w:rFonts w:hint="eastAsia"/>
          <w:sz w:val="24"/>
        </w:rPr>
        <w:t>2</w:t>
      </w:r>
      <w:r>
        <w:rPr>
          <w:sz w:val="24"/>
        </w:rPr>
        <w:t>021年，国务院印发的《中华人民共和国国民经济和社会发展第十四个五年规划和2035年远景目标纲要》中提出，积极稳妥推进粤港澳大湾区建设。加强粤港澳产学研协同发展，完善广深港、广珠澳科技创新走廊和深港河套、粤澳横琴科技创新极点“两廊两点”架构体系，推进综合性国家科学中心建设，便利创新要素跨境流动。</w:t>
      </w:r>
    </w:p>
    <w:p>
      <w:pPr>
        <w:spacing w:line="360" w:lineRule="auto"/>
        <w:ind w:firstLine="480" w:firstLineChars="200"/>
        <w:rPr>
          <w:sz w:val="24"/>
        </w:rPr>
      </w:pPr>
      <w:r>
        <w:rPr>
          <w:sz w:val="24"/>
        </w:rPr>
        <w:t>健康服务行业和健康教育事业作为“健康中国”战略的重要环节，在粤港澳大湾区发展规划和布局中</w:t>
      </w:r>
      <w:r>
        <w:rPr>
          <w:rFonts w:hint="eastAsia"/>
          <w:sz w:val="24"/>
        </w:rPr>
        <w:t>也</w:t>
      </w:r>
      <w:r>
        <w:rPr>
          <w:sz w:val="24"/>
        </w:rPr>
        <w:t>占据重要位置</w:t>
      </w:r>
      <w:r>
        <w:rPr>
          <w:rFonts w:hint="eastAsia"/>
          <w:sz w:val="24"/>
        </w:rPr>
        <w:t>：塑造健康湾区；推进健康城市；健康村镇建设；建设区域性健康养老示范基地；发展健康服务业向精细和高品质转变；打造粤港澳大湾区中医药高地。</w:t>
      </w:r>
    </w:p>
    <w:p>
      <w:pPr>
        <w:spacing w:line="360" w:lineRule="auto"/>
        <w:ind w:firstLine="480" w:firstLineChars="200"/>
        <w:rPr>
          <w:sz w:val="24"/>
        </w:rPr>
      </w:pPr>
      <w:r>
        <w:rPr>
          <w:sz w:val="24"/>
        </w:rPr>
        <w:t>加强粤港澳大湾区健康管理人才培养，推进</w:t>
      </w:r>
      <w:r>
        <w:rPr>
          <w:rFonts w:hint="eastAsia"/>
          <w:sz w:val="24"/>
        </w:rPr>
        <w:t>健康产业</w:t>
      </w:r>
      <w:r>
        <w:rPr>
          <w:sz w:val="24"/>
        </w:rPr>
        <w:t>与中医药健康服务、卫生信息化建设相融合，培养一批专业化、高品质、复合型的专业健康管理型人才，</w:t>
      </w:r>
      <w:r>
        <w:rPr>
          <w:rFonts w:hint="eastAsia"/>
          <w:sz w:val="24"/>
        </w:rPr>
        <w:t>将</w:t>
      </w:r>
      <w:r>
        <w:rPr>
          <w:sz w:val="24"/>
        </w:rPr>
        <w:t>助力粤港澳大湾区健康产品和健康服务等相关行业的合理布局，推动粤港澳大湾区健康行业高效有序发展，为粤港澳大湾区经济的蓬勃发展提供高质量的健康服务保障。</w:t>
      </w:r>
    </w:p>
    <w:p>
      <w:pPr>
        <w:spacing w:line="360" w:lineRule="auto"/>
        <w:ind w:firstLine="480" w:firstLineChars="200"/>
        <w:rPr>
          <w:rFonts w:hint="eastAsia"/>
          <w:sz w:val="24"/>
        </w:rPr>
      </w:pPr>
      <w:r>
        <w:rPr>
          <w:rFonts w:hint="eastAsia"/>
          <w:sz w:val="24"/>
        </w:rPr>
        <w:t>从化作为广州的后花园，基于区位优势发展自己的特色，积极推动“中华国医国药发展示范基地”项目创建工作，将建设集中医药文化、中医药服务、中医药交流、中医药科研、中医药孵化、中医药工业、中医药流通和中药材基地为一体的综合性、创新性、国家级的大型中医药产业聚集区。广州南方学院新建中医药学院，将培养大批具备中医药知识和技能的实用型人才，增强广州和港澳中医药服务水平，助推大湾区战略产业升级和发展，助力健康中国的建设。健康服务与管理专业将依托中医药学院，将中医“治未病”理论与现代健康管理理论相融合，办好专业特色，符合国家战略需求。</w:t>
      </w:r>
    </w:p>
    <w:p>
      <w:pPr>
        <w:shd w:val="clear" w:color="auto" w:fill="FFFFFF"/>
        <w:spacing w:line="360" w:lineRule="auto"/>
        <w:ind w:firstLine="616"/>
        <w:rPr>
          <w:b/>
          <w:bCs/>
          <w:sz w:val="28"/>
          <w:szCs w:val="28"/>
        </w:rPr>
      </w:pPr>
    </w:p>
    <w:p>
      <w:pPr>
        <w:shd w:val="clear" w:color="auto" w:fill="FFFFFF"/>
        <w:spacing w:line="360" w:lineRule="auto"/>
        <w:ind w:firstLine="616"/>
        <w:rPr>
          <w:b/>
          <w:bCs/>
          <w:sz w:val="28"/>
          <w:szCs w:val="28"/>
        </w:rPr>
      </w:pPr>
      <w:r>
        <w:rPr>
          <w:b/>
          <w:bCs/>
          <w:sz w:val="28"/>
          <w:szCs w:val="28"/>
        </w:rPr>
        <w:t xml:space="preserve">3.   </w:t>
      </w:r>
      <w:r>
        <w:rPr>
          <w:rFonts w:hint="eastAsia"/>
          <w:b/>
          <w:bCs/>
          <w:sz w:val="28"/>
          <w:szCs w:val="28"/>
        </w:rPr>
        <w:t>满足人口老龄化等社会变化对健康服务与管理的需求</w:t>
      </w:r>
    </w:p>
    <w:p>
      <w:pPr>
        <w:spacing w:line="360" w:lineRule="auto"/>
        <w:ind w:firstLine="480" w:firstLineChars="200"/>
        <w:rPr>
          <w:sz w:val="24"/>
        </w:rPr>
      </w:pPr>
      <w:r>
        <w:rPr>
          <w:sz w:val="24"/>
        </w:rPr>
        <w:t>随着我国人口老龄化问题不断突出，多种慢性疾病发病率也日益增高，加之我国人口政策的进一步推动实施，“三孩”政策即将落地，伴随全社会对“育儿养老”话题的热议，健康服务与管理专业人才的需求也日益增长。一方面，根据第七次人口普查数据显示，截至2020年底，我国60周岁及以上老年人近2.6亿人，占人口总数的18.6%</w:t>
      </w:r>
      <w:r>
        <w:rPr>
          <w:rFonts w:hint="eastAsia"/>
          <w:sz w:val="24"/>
        </w:rPr>
        <w:t>。有数据预测，2022年左右中国将进入老龄社会，2025年65岁及以上老年人将超2亿，中国所面临的</w:t>
      </w:r>
      <w:r>
        <w:rPr>
          <w:sz w:val="24"/>
        </w:rPr>
        <w:t>人口老龄化问题严峻；另一方面，卫计委数据显示, 我国慢性病患者总数超过3亿, 发病率且逐步上升, 并呈现年轻化趋势，因此国家在政策上更加重视慢性疾病的防治工作，这对于健康管理以及“治未病”的特性要求提出了新的要求。此外， 2021年5月31日，中共中央政治局召开会议并作出部署，提出进一步优化生育政策，实施一对夫妻可以生育三个子女政策及配套支持措施。自2016年“二孩”政策实施以来，我国二孩出生人口多出1000多万，新生儿和青少年的健康管理和防护</w:t>
      </w:r>
      <w:r>
        <w:rPr>
          <w:rFonts w:hint="eastAsia"/>
          <w:sz w:val="24"/>
        </w:rPr>
        <w:t>工作</w:t>
      </w:r>
      <w:r>
        <w:rPr>
          <w:sz w:val="24"/>
        </w:rPr>
        <w:t>也对健康管理服务和健康服务管理人才</w:t>
      </w:r>
      <w:r>
        <w:rPr>
          <w:rFonts w:hint="eastAsia"/>
          <w:sz w:val="24"/>
        </w:rPr>
        <w:t>有了更广泛</w:t>
      </w:r>
      <w:r>
        <w:rPr>
          <w:sz w:val="24"/>
        </w:rPr>
        <w:t>的需求。</w:t>
      </w:r>
    </w:p>
    <w:p>
      <w:pPr>
        <w:spacing w:line="360" w:lineRule="auto"/>
        <w:ind w:firstLine="480" w:firstLineChars="200"/>
        <w:rPr>
          <w:sz w:val="24"/>
        </w:rPr>
      </w:pPr>
      <w:r>
        <w:rPr>
          <w:sz w:val="24"/>
        </w:rPr>
        <w:t>在促生育、重养老、防慢病等多重因素的作用下，整个社会对健康服务的需求日益旺盛。为加大对急需紧缺职业和新职业的标准开发力度，以适应市场需求，引导人才培养培训与新职业及相应标准开发紧密对接，提高劳动者的职业能力和就业能力，促进劳动者就业创业和职业发展。2020年3月，人力资源社会保障部、市场监管总局、国家统计局联合发布《智能制造工程技术人员等16个新职业》通知，通知中16个职业里出现多个健康行业的新增职业，包括健康照护师、出生缺陷防控咨询师和康复辅助技术咨询师。有数据调查显示表明，2018年我国医养结合市场规模将已超过5千亿元，预计2018-2022年均复合增长率约为23.98%，2022年将达到14040亿元。据不完全统计，我国各级各类健康管理相关机构超过7000多家，年产值超过800亿元。</w:t>
      </w:r>
      <w:r>
        <w:rPr>
          <w:rFonts w:hint="eastAsia"/>
          <w:sz w:val="24"/>
        </w:rPr>
        <w:t>行业</w:t>
      </w:r>
      <w:r>
        <w:rPr>
          <w:sz w:val="24"/>
        </w:rPr>
        <w:t>预测未来的10年内，至少</w:t>
      </w:r>
      <w:r>
        <w:rPr>
          <w:rFonts w:hint="eastAsia"/>
          <w:sz w:val="24"/>
        </w:rPr>
        <w:t>会有</w:t>
      </w:r>
      <w:r>
        <w:rPr>
          <w:sz w:val="24"/>
        </w:rPr>
        <w:t>1千万健康服务与管理人才的需求。因此通过在高等院校加设健康服务与管理专业，培养具有医学背景的管理人才，为未来我国“医养结合”模式下健康行业快速、高质量发展储备</w:t>
      </w:r>
      <w:r>
        <w:rPr>
          <w:rFonts w:hint="eastAsia"/>
          <w:sz w:val="24"/>
        </w:rPr>
        <w:t>优质的</w:t>
      </w:r>
      <w:r>
        <w:rPr>
          <w:sz w:val="24"/>
        </w:rPr>
        <w:t>人力</w:t>
      </w:r>
      <w:r>
        <w:rPr>
          <w:rFonts w:hint="eastAsia"/>
          <w:sz w:val="24"/>
        </w:rPr>
        <w:t>资源</w:t>
      </w:r>
      <w:r>
        <w:rPr>
          <w:sz w:val="24"/>
        </w:rPr>
        <w:t>。</w:t>
      </w:r>
    </w:p>
    <w:p>
      <w:pPr>
        <w:shd w:val="clear" w:color="auto" w:fill="FFFFFF"/>
        <w:spacing w:line="360" w:lineRule="auto"/>
        <w:ind w:firstLine="616"/>
        <w:rPr>
          <w:b/>
          <w:bCs/>
          <w:sz w:val="28"/>
          <w:szCs w:val="28"/>
        </w:rPr>
      </w:pPr>
      <w:r>
        <w:rPr>
          <w:b/>
          <w:bCs/>
          <w:sz w:val="28"/>
          <w:szCs w:val="28"/>
        </w:rPr>
        <w:t xml:space="preserve">4. </w:t>
      </w:r>
      <w:r>
        <w:rPr>
          <w:rFonts w:hint="eastAsia"/>
          <w:b/>
          <w:bCs/>
          <w:sz w:val="28"/>
          <w:szCs w:val="28"/>
        </w:rPr>
        <w:t xml:space="preserve"> 顺应健康服务行业发展趋势</w:t>
      </w:r>
    </w:p>
    <w:p>
      <w:pPr>
        <w:spacing w:line="360" w:lineRule="auto"/>
        <w:rPr>
          <w:sz w:val="24"/>
        </w:rPr>
      </w:pPr>
      <w:r>
        <w:rPr>
          <w:sz w:val="24"/>
        </w:rPr>
        <w:t xml:space="preserve">     2019年4月13日，中关村新智源健康管理研究院、中南大学健康管理研究中心及社会科学文献出版社共同发布了《健康管理蓝皮书：中国健康管理与健康产业发展报告No.2（2019）》。报告指出，当前中国正处于经济社会转型升级的关键阶段，宏观环境的变革为促进健康服务业发展创造了有利条件。加快发展健康服务业，是深化医药卫生体制改革、改善民生福祉和提高全民健康素质的必然要求，是推动经济结构优化调整的重要举措，对实现全面建成小康社会的百年奋斗目标和中华民族伟大复兴的“中国梦”具有非凡意义。</w:t>
      </w:r>
    </w:p>
    <w:p>
      <w:pPr>
        <w:spacing w:line="360" w:lineRule="auto"/>
        <w:ind w:firstLine="480"/>
        <w:rPr>
          <w:sz w:val="24"/>
        </w:rPr>
      </w:pPr>
      <w:r>
        <w:rPr>
          <w:sz w:val="24"/>
        </w:rPr>
        <w:t>自2013年我国健康服务</w:t>
      </w:r>
      <w:r>
        <w:rPr>
          <w:rFonts w:hint="eastAsia"/>
          <w:sz w:val="24"/>
        </w:rPr>
        <w:t>行业</w:t>
      </w:r>
      <w:r>
        <w:rPr>
          <w:sz w:val="24"/>
        </w:rPr>
        <w:t>初步兴起，如今</w:t>
      </w:r>
      <w:r>
        <w:rPr>
          <w:rFonts w:hint="eastAsia"/>
          <w:sz w:val="24"/>
        </w:rPr>
        <w:t>业</w:t>
      </w:r>
      <w:r>
        <w:rPr>
          <w:sz w:val="24"/>
        </w:rPr>
        <w:t>已</w:t>
      </w:r>
      <w:r>
        <w:rPr>
          <w:rFonts w:hint="eastAsia"/>
          <w:sz w:val="24"/>
        </w:rPr>
        <w:t>跃升</w:t>
      </w:r>
      <w:r>
        <w:rPr>
          <w:sz w:val="24"/>
        </w:rPr>
        <w:t>成为社会经济持续发展的重要推动力。随着医疗卫生体制改革的不断深化，市场体制壁垒已被打破，产业升级向纵深推进，健康服务业与多产业融合迈进，新业态、新模式不断涌现，焕发</w:t>
      </w:r>
      <w:r>
        <w:rPr>
          <w:rFonts w:hint="eastAsia"/>
          <w:sz w:val="24"/>
        </w:rPr>
        <w:t>着</w:t>
      </w:r>
      <w:r>
        <w:rPr>
          <w:sz w:val="24"/>
        </w:rPr>
        <w:t>新的活力。经过多年的探索与实践，我国健康管理服务市场初具规模、相关产业链逐步建立。截至2017年，全国超过3000家医院已开展健康促进医院试点建设工作。健康体检机构作为产业链中承上启下的重要环节和服务主体，近年来市场扩容明显，2017年健康体检人次近5亿人次，市场容量超过1300亿元。移动互联网、大数据及可穿戴设备等创新科技应用为优化健康管理服务模式提供了更便捷途径，数字化驱动的“互联网+健康管理”时代已悄然来临，2018年互联网健康管理产业规模超过900亿元。近年来，商业健康保险随社会医疗保险的发展而快速发展，两者相互依赖、共同发展。根据中国保险行业协会发布的相关数据，2018年，商业健康保险原保费收入突破5000亿元，商业健康险占全行业保费收入比重超过12.0%，商业健康保险已明显成为商业保险发展新的重要增长点。此外，伴随政策优惠、科技创新和消费升级三重利好加持，中医药健康产业迎来绝佳发展契机。首先，政策导向上，对设立中医诊所和中医人才考核降低了门槛限制；其次，智慧化辅助诊疗系统、智慧中药房、智能中医设备等新技术应用，助力中医健康管理服务模式变革；另外，随着国民收入提高和消费升级，中医药大健康产业市场规模持续保持两位数的高速增长，2017年已达17500亿元，同比增长21.1%。</w:t>
      </w:r>
    </w:p>
    <w:p>
      <w:pPr>
        <w:spacing w:line="360" w:lineRule="auto"/>
        <w:rPr>
          <w:sz w:val="24"/>
        </w:rPr>
      </w:pPr>
      <w:r>
        <w:rPr>
          <w:sz w:val="24"/>
        </w:rPr>
        <w:t xml:space="preserve">    随着国家经济结构转型升级和科技日新月异，健康服务业所涉及的产业结构、技术方向、市场形态都在发生深刻变革，我国健康服务业发展呈现新趋势。随着生活方式转变、消费升级和产业跨界融合发展，来自科技、零售、地产等其他行业的新兴市场参与者与传统医疗健康服务市场参与者的跨界合作不断深化，构建多元化应用场景，大力推进了“健康+养老”“健康+旅游”“健康+体育”“健康+互联网”等产业融合发展，催生出许多新型的健康服务商业模式，产业生态圈得以不断扩张。在数字化浪潮的大趋势下，近年来国家出台了一系列政策鼓励健康产业向数字化、信息化和智能化发展。以云计算、大数据、移动互联网等为代表的数字化信息技术已渗透至健康服务业的各个领域。人工智能技术在健康产业的应用领域非常广泛，包括手术机器人、医学影像智能化诊断、临床决策支持系统、个性化就诊体验、语音交互诊疗、新药模拟、健康信息数据挖掘等。</w:t>
      </w:r>
    </w:p>
    <w:p>
      <w:pPr>
        <w:spacing w:line="360" w:lineRule="auto"/>
        <w:ind w:firstLine="448"/>
        <w:rPr>
          <w:rFonts w:ascii="黑体" w:hAnsi="黑体" w:eastAsia="黑体"/>
          <w:bCs/>
          <w:sz w:val="28"/>
          <w:szCs w:val="28"/>
        </w:rPr>
      </w:pPr>
      <w:r>
        <w:rPr>
          <w:rFonts w:hint="eastAsia" w:ascii="黑体" w:hAnsi="黑体" w:eastAsia="黑体"/>
          <w:bCs/>
          <w:sz w:val="28"/>
          <w:szCs w:val="28"/>
        </w:rPr>
        <w:t>（二）增设健康服务与管理专业的基础</w:t>
      </w:r>
    </w:p>
    <w:p>
      <w:pPr>
        <w:shd w:val="clear" w:color="auto" w:fill="FFFFFF"/>
        <w:spacing w:line="360" w:lineRule="auto"/>
        <w:ind w:firstLine="616"/>
        <w:rPr>
          <w:b/>
          <w:bCs/>
          <w:sz w:val="28"/>
          <w:szCs w:val="28"/>
        </w:rPr>
      </w:pPr>
      <w:r>
        <w:rPr>
          <w:rFonts w:hint="eastAsia"/>
          <w:b/>
          <w:bCs/>
          <w:sz w:val="28"/>
          <w:szCs w:val="28"/>
        </w:rPr>
        <w:t>1.</w:t>
      </w:r>
      <w:r>
        <w:rPr>
          <w:b/>
          <w:bCs/>
          <w:sz w:val="28"/>
          <w:szCs w:val="28"/>
        </w:rPr>
        <w:t xml:space="preserve"> </w:t>
      </w:r>
      <w:r>
        <w:rPr>
          <w:rFonts w:hint="eastAsia"/>
          <w:b/>
          <w:bCs/>
          <w:sz w:val="28"/>
          <w:szCs w:val="28"/>
        </w:rPr>
        <w:t>学校概况</w:t>
      </w:r>
    </w:p>
    <w:p>
      <w:pPr>
        <w:spacing w:line="360" w:lineRule="auto"/>
        <w:ind w:firstLine="480" w:firstLineChars="200"/>
        <w:rPr>
          <w:sz w:val="24"/>
        </w:rPr>
      </w:pPr>
      <w:r>
        <w:rPr>
          <w:rFonts w:hint="eastAsia"/>
          <w:sz w:val="24"/>
        </w:rPr>
        <w:t>广州南方学院（原中山大学南方学院）是2006年经教育部批准设立的综合性、应用型民办普通本科高等学校，是广东省高等教育体制综合改革试点院校、广东省首批普通本科转型试点高校和广东省硕士学位授予立项建设单位。</w:t>
      </w:r>
    </w:p>
    <w:p>
      <w:pPr>
        <w:spacing w:line="360" w:lineRule="auto"/>
        <w:ind w:firstLine="480" w:firstLineChars="200"/>
        <w:rPr>
          <w:sz w:val="24"/>
        </w:rPr>
      </w:pPr>
      <w:r>
        <w:rPr>
          <w:rFonts w:hint="eastAsia"/>
          <w:sz w:val="24"/>
        </w:rPr>
        <w:t>学校现有本科生19162人，继续教育在校生2306人，学校设有10个院系42个本科招生专业，形成以管理学、经济学、文学为主，工学、医学、艺术学协调发展、结构合理、优势互补的学科体系。2021年，学校国家级和省级一流本科专业建设点数量位居广东省民办普通本科高校第1，在“艾瑞深中国校友会网”广东省34所应用型普通本科高校（含公办、民办）一流专业排名中位列第4，有6星级、5星级和4星级专业各12个，占专业总数86%。在最新2021校友会中国一流专业排名（应用型）中，我校位列校友会2021中国综合类大学一流专业排名（应用型）前10强。</w:t>
      </w:r>
    </w:p>
    <w:p>
      <w:pPr>
        <w:spacing w:line="360" w:lineRule="auto"/>
        <w:ind w:firstLine="480" w:firstLineChars="200"/>
        <w:rPr>
          <w:sz w:val="24"/>
        </w:rPr>
      </w:pPr>
      <w:r>
        <w:rPr>
          <w:rFonts w:hint="eastAsia"/>
          <w:sz w:val="24"/>
        </w:rPr>
        <w:t>其中“云康医学与健康管理学院”、“护理与健康学院”中设置医学检验技术、康复医学专业、护理学专业，为中医药学院开办健康管理与服务专业提供了有力支撑。</w:t>
      </w:r>
    </w:p>
    <w:p>
      <w:pPr>
        <w:shd w:val="clear" w:color="auto" w:fill="FFFFFF"/>
        <w:spacing w:line="360" w:lineRule="auto"/>
        <w:ind w:firstLine="616"/>
        <w:rPr>
          <w:b/>
          <w:bCs/>
          <w:sz w:val="28"/>
          <w:szCs w:val="28"/>
        </w:rPr>
      </w:pPr>
      <w:r>
        <w:rPr>
          <w:rFonts w:hint="eastAsia"/>
          <w:b/>
          <w:bCs/>
          <w:sz w:val="28"/>
          <w:szCs w:val="28"/>
        </w:rPr>
        <w:t>2</w:t>
      </w:r>
      <w:r>
        <w:rPr>
          <w:b/>
          <w:bCs/>
          <w:sz w:val="28"/>
          <w:szCs w:val="28"/>
        </w:rPr>
        <w:t xml:space="preserve">. </w:t>
      </w:r>
      <w:r>
        <w:rPr>
          <w:rFonts w:hint="eastAsia"/>
          <w:b/>
          <w:bCs/>
          <w:sz w:val="28"/>
          <w:szCs w:val="28"/>
        </w:rPr>
        <w:t>师资力量雄厚</w:t>
      </w:r>
    </w:p>
    <w:p>
      <w:pPr>
        <w:spacing w:line="360" w:lineRule="auto"/>
        <w:ind w:firstLine="480" w:firstLineChars="200"/>
        <w:rPr>
          <w:sz w:val="24"/>
        </w:rPr>
      </w:pPr>
      <w:r>
        <w:rPr>
          <w:rFonts w:hint="eastAsia"/>
          <w:sz w:val="24"/>
        </w:rPr>
        <w:t>学校汇聚了一批继承国内一流大学的优良传统和精神文化的校长团队、院系主任、学科带头人和管理骨干，他们始终梦想能在学校这片“试验田”里推动中国高等教育改革，实现建设位居中国应用型高校前列、特色鲜明的高水平大学的使命。</w:t>
      </w:r>
    </w:p>
    <w:p>
      <w:pPr>
        <w:spacing w:line="360" w:lineRule="auto"/>
        <w:ind w:firstLine="480" w:firstLineChars="200"/>
        <w:rPr>
          <w:sz w:val="24"/>
        </w:rPr>
      </w:pPr>
      <w:r>
        <w:rPr>
          <w:rFonts w:hint="eastAsia"/>
          <w:sz w:val="24"/>
        </w:rPr>
        <w:t>学校现有专任教师853人，含博士生导师17人，教育部新世纪优秀人才2人，广东省特支计划教学名师1人，省级教学名师2人，南粤优秀教师4人；具有博士学位的教师170人，占专任教师总数的19.93%；具有副高级以上职称的教师259人，占专任教师总数的30.36%；“双师双能”教师300人，占专任教师总数的35%。学校重视青年教师成长，近几年推选参加广东省中青年骨干教师访问学者项目34人，赴境外访学进修20余人，在职攻读博士学位43人。</w:t>
      </w:r>
    </w:p>
    <w:p>
      <w:pPr>
        <w:spacing w:line="360" w:lineRule="auto"/>
        <w:ind w:firstLine="480" w:firstLineChars="200"/>
        <w:rPr>
          <w:sz w:val="24"/>
        </w:rPr>
      </w:pPr>
      <w:r>
        <w:rPr>
          <w:rFonts w:hint="eastAsia"/>
          <w:sz w:val="24"/>
        </w:rPr>
        <w:t>学校现有兼职教师314人，其中特聘知名学者夏书章、黄天骥、陈平原3名教授担任学术顾问，聘请巴曙松、任剑涛、王哲民等8名具有重要影响力的学者担任讲座教授，聘请近200名富有实践经验的管理者、技术精英担任业界导师。其中，与开设健康服务与管理专业相关的学院教师共有54人，其中副高级以上职称22人，占专任教师总数的40.74%；具有博士学位教师25人，占专任教师总数的4</w:t>
      </w:r>
      <w:r>
        <w:rPr>
          <w:sz w:val="24"/>
        </w:rPr>
        <w:t>6</w:t>
      </w:r>
      <w:r>
        <w:rPr>
          <w:rFonts w:hint="eastAsia"/>
          <w:sz w:val="24"/>
        </w:rPr>
        <w:t>.29%，</w:t>
      </w:r>
      <w:r>
        <w:rPr>
          <w:sz w:val="24"/>
        </w:rPr>
        <w:t xml:space="preserve"> </w:t>
      </w:r>
    </w:p>
    <w:p>
      <w:pPr>
        <w:shd w:val="clear" w:color="auto" w:fill="FFFFFF"/>
        <w:spacing w:line="360" w:lineRule="auto"/>
        <w:ind w:firstLine="616"/>
        <w:rPr>
          <w:b/>
          <w:bCs/>
          <w:sz w:val="28"/>
          <w:szCs w:val="28"/>
        </w:rPr>
      </w:pPr>
      <w:r>
        <w:rPr>
          <w:b/>
          <w:bCs/>
          <w:sz w:val="28"/>
          <w:szCs w:val="28"/>
        </w:rPr>
        <w:t>3. 专业设施齐全</w:t>
      </w:r>
    </w:p>
    <w:p>
      <w:pPr>
        <w:spacing w:line="360" w:lineRule="auto"/>
        <w:ind w:firstLine="480" w:firstLineChars="200"/>
        <w:rPr>
          <w:sz w:val="24"/>
        </w:rPr>
      </w:pPr>
      <w:r>
        <w:rPr>
          <w:rFonts w:hint="eastAsia"/>
          <w:sz w:val="24"/>
        </w:rPr>
        <w:t>学院目前已购置</w:t>
      </w:r>
      <w:r>
        <w:rPr>
          <w:sz w:val="24"/>
        </w:rPr>
        <w:t>75</w:t>
      </w:r>
      <w:r>
        <w:rPr>
          <w:rFonts w:hint="eastAsia"/>
          <w:sz w:val="24"/>
        </w:rPr>
        <w:t>多万元的相关仪器设备，共计</w:t>
      </w:r>
      <w:r>
        <w:rPr>
          <w:sz w:val="24"/>
        </w:rPr>
        <w:t>120</w:t>
      </w:r>
      <w:r>
        <w:rPr>
          <w:rFonts w:hint="eastAsia"/>
          <w:sz w:val="24"/>
        </w:rPr>
        <w:t>余台（件），可以满足办学初期的实训教学需要；同时大力加强实训基地建设，建设功能综合化、环境职业化、作业标准化、管理企业化、运行开放化的具有产学研融合的校内综合实训基地，建设“中医健康管理中心”、“中医康复中心”、“中药实践与公共服务中心”等实训和社会服务平台，实现全方位、一体式、智能化管理，打造学生理论学习、课程实践和专业实训的一体化学习场所。</w:t>
      </w:r>
    </w:p>
    <w:p>
      <w:pPr>
        <w:shd w:val="clear" w:color="auto" w:fill="FFFFFF"/>
        <w:spacing w:line="360" w:lineRule="auto"/>
        <w:ind w:firstLine="616"/>
        <w:rPr>
          <w:b/>
          <w:bCs/>
          <w:sz w:val="28"/>
          <w:szCs w:val="28"/>
        </w:rPr>
      </w:pPr>
      <w:r>
        <w:rPr>
          <w:rFonts w:hint="eastAsia"/>
          <w:b/>
          <w:bCs/>
          <w:sz w:val="28"/>
          <w:szCs w:val="28"/>
        </w:rPr>
        <w:t>4.</w:t>
      </w:r>
      <w:r>
        <w:rPr>
          <w:b/>
          <w:bCs/>
          <w:sz w:val="28"/>
          <w:szCs w:val="28"/>
        </w:rPr>
        <w:t xml:space="preserve"> </w:t>
      </w:r>
      <w:r>
        <w:rPr>
          <w:rFonts w:hint="eastAsia"/>
          <w:b/>
          <w:bCs/>
          <w:sz w:val="28"/>
          <w:szCs w:val="28"/>
        </w:rPr>
        <w:t>科研条件完善</w:t>
      </w:r>
    </w:p>
    <w:p>
      <w:pPr>
        <w:spacing w:line="360" w:lineRule="auto"/>
        <w:ind w:firstLine="480" w:firstLineChars="200"/>
        <w:rPr>
          <w:sz w:val="24"/>
        </w:rPr>
      </w:pPr>
      <w:r>
        <w:rPr>
          <w:rFonts w:hint="eastAsia"/>
          <w:sz w:val="24"/>
        </w:rPr>
        <w:t>学校通过实施“差异化”错位发展和“不平衡”扶优发展策略，追求学科专业的特色和水平。学校现有国家级一流本科专业建设点2个、省级一流本科专业建设点2个，省级重点学科2个，中华工程教育认证(IEET)专业1个，省级综合改革试点专业7个、省级特色专业5个、省级重点专业2个、省级战略新兴特色专业1个、省级应用型人才培养示范专业1个、省级卓越人才培养计划专业1个，省级大学生实践教学基地7个，省级人才培养模式创新实验区6个，省级实验教学示范中心3个，省级教学团队4个，省级一流课程3门、省级课程思政示范项目课程5门、省级精品资源共享课5门、省级在线开放课程6门，省级产业学院1个，省级教育教学成果奖一等奖1项，省高教学会在线教学优秀案例奖4项。学校拥有省级实验教学示范中心3个，省级教学团队4个，省级一流课程3门、省级课程思政示范项目课程5门、省级精品资源共享课5门、省级在线开放课程6门，省级产业学院1个，省级教育教学成果奖一等奖1项，省高教学会在线教学优秀案例奖4项。</w:t>
      </w:r>
    </w:p>
    <w:p>
      <w:pPr>
        <w:spacing w:line="360" w:lineRule="auto"/>
        <w:ind w:firstLine="480" w:firstLineChars="200"/>
        <w:rPr>
          <w:rFonts w:hint="eastAsia"/>
          <w:sz w:val="24"/>
        </w:rPr>
      </w:pPr>
      <w:r>
        <w:rPr>
          <w:rFonts w:hint="eastAsia"/>
          <w:sz w:val="24"/>
        </w:rPr>
        <w:t>学校图书馆面积2.91万平方米，文献信息资源丰富。现有纸本藏书197.49余万册，电子图书160余万册；拥有中国知网等各类数据库及平台，同时实现与中山大学图书馆电子资源共享；采用24小时开放的管理模式，</w:t>
      </w:r>
      <w:bookmarkStart w:id="1" w:name="_GoBack"/>
      <w:bookmarkEnd w:id="1"/>
      <w:r>
        <w:rPr>
          <w:rFonts w:hint="eastAsia"/>
          <w:sz w:val="24"/>
        </w:rPr>
        <w:t>全方位满足健康管理与服务专业建设需求。</w:t>
      </w:r>
    </w:p>
    <w:p>
      <w:pPr>
        <w:shd w:val="clear" w:color="auto" w:fill="FFFFFF"/>
        <w:spacing w:line="360" w:lineRule="auto"/>
        <w:ind w:firstLine="616"/>
        <w:rPr>
          <w:b/>
          <w:bCs/>
          <w:sz w:val="28"/>
          <w:szCs w:val="28"/>
        </w:rPr>
      </w:pPr>
    </w:p>
    <w:p>
      <w:pPr>
        <w:shd w:val="clear" w:color="auto" w:fill="FFFFFF"/>
        <w:spacing w:line="360" w:lineRule="auto"/>
        <w:ind w:firstLine="616"/>
        <w:rPr>
          <w:b/>
          <w:bCs/>
          <w:sz w:val="28"/>
          <w:szCs w:val="28"/>
        </w:rPr>
      </w:pPr>
      <w:r>
        <w:rPr>
          <w:b/>
          <w:bCs/>
          <w:sz w:val="28"/>
          <w:szCs w:val="28"/>
        </w:rPr>
        <w:t>5</w:t>
      </w:r>
      <w:r>
        <w:rPr>
          <w:rFonts w:hint="eastAsia"/>
          <w:b/>
          <w:bCs/>
          <w:sz w:val="28"/>
          <w:szCs w:val="28"/>
        </w:rPr>
        <w:t>.</w:t>
      </w:r>
      <w:r>
        <w:rPr>
          <w:b/>
          <w:bCs/>
          <w:sz w:val="28"/>
          <w:szCs w:val="28"/>
        </w:rPr>
        <w:t xml:space="preserve"> </w:t>
      </w:r>
      <w:r>
        <w:rPr>
          <w:rFonts w:hint="eastAsia"/>
          <w:b/>
          <w:bCs/>
          <w:sz w:val="28"/>
          <w:szCs w:val="28"/>
        </w:rPr>
        <w:t>实训基地保障</w:t>
      </w:r>
    </w:p>
    <w:p>
      <w:pPr>
        <w:spacing w:line="360" w:lineRule="auto"/>
        <w:ind w:firstLine="480" w:firstLineChars="200"/>
        <w:rPr>
          <w:sz w:val="24"/>
        </w:rPr>
      </w:pPr>
      <w:r>
        <w:rPr>
          <w:rFonts w:hint="eastAsia"/>
          <w:sz w:val="24"/>
        </w:rPr>
        <w:t>学院购置1000多万元的仪器设备，满足初期办学的实训教学需要；大力加强实训基地建设，建设功能综合化、环境职业化、作业标准化、管理企业化、运行开放化的具有产学研融合的校内综合实训基地，建设“中医健康管理中心”、“中医康复中心”、“中药实践与公共服务中心”等实训和社会服务平台。</w:t>
      </w:r>
    </w:p>
    <w:p>
      <w:pPr>
        <w:spacing w:line="360" w:lineRule="auto"/>
        <w:ind w:firstLine="480" w:firstLineChars="200"/>
        <w:rPr>
          <w:sz w:val="24"/>
        </w:rPr>
      </w:pPr>
      <w:r>
        <w:rPr>
          <w:rFonts w:hint="eastAsia"/>
          <w:sz w:val="24"/>
        </w:rPr>
        <w:t>学院积极加强附属医院建设，现拥有直属附属医院一所（从化区中医院）。2020年，从化区中医医院迁建工程项目正式动工，未来该院将建成为一家规划床位数达800张、总建筑面积超11万平方米，定位于集医疗、预防、保健、康复、教学、科研于一体的二级甲等综合性新型中医院。学校也与中山大学多所附属医院等众多三甲医院和云康集团在内的一批实力雄厚的医疗单位和机构建立实习合作，为学生提供师资优良的实训教学基地以保证教学质量。</w:t>
      </w:r>
    </w:p>
    <w:p>
      <w:pPr>
        <w:spacing w:line="360" w:lineRule="auto"/>
        <w:ind w:firstLine="480" w:firstLineChars="200"/>
        <w:rPr>
          <w:sz w:val="24"/>
        </w:rPr>
      </w:pPr>
      <w:r>
        <w:rPr>
          <w:rFonts w:hint="eastAsia"/>
          <w:sz w:val="24"/>
        </w:rPr>
        <w:t>与此同时，学院积极开展中高端实习基地建设，与政府重点打造的医养结合养老机构建立深度合作关系。并且通过校外实习强化学生操作技能，选择经营能力和抗风险能力强且真正有人才需求的优质企业，共同完善学生实习计划及培养管理办法，妥善制订校企生三方协议，明确各方的责任义务，使学生的实习与工作得到有效保障。</w:t>
      </w:r>
    </w:p>
    <w:p>
      <w:pPr>
        <w:spacing w:line="360" w:lineRule="auto"/>
        <w:ind w:firstLine="480" w:firstLineChars="200"/>
        <w:rPr>
          <w:rFonts w:hint="eastAsia"/>
          <w:sz w:val="24"/>
        </w:rPr>
      </w:pPr>
    </w:p>
    <w:p>
      <w:pPr>
        <w:spacing w:after="150" w:line="360" w:lineRule="auto"/>
        <w:ind w:firstLine="560" w:firstLineChars="200"/>
        <w:rPr>
          <w:rFonts w:ascii="黑体" w:hAnsi="黑体" w:eastAsia="黑体"/>
          <w:sz w:val="28"/>
          <w:szCs w:val="28"/>
        </w:rPr>
      </w:pPr>
      <w:r>
        <w:rPr>
          <w:rFonts w:hint="eastAsia" w:ascii="黑体" w:hAnsi="黑体" w:eastAsia="黑体"/>
          <w:sz w:val="28"/>
          <w:szCs w:val="28"/>
        </w:rPr>
        <w:t xml:space="preserve">(三) </w:t>
      </w:r>
      <w:r>
        <w:rPr>
          <w:rFonts w:ascii="黑体" w:hAnsi="黑体" w:eastAsia="黑体"/>
          <w:sz w:val="28"/>
          <w:szCs w:val="28"/>
        </w:rPr>
        <w:t>办学特色</w:t>
      </w:r>
      <w:r>
        <w:rPr>
          <w:rFonts w:hint="eastAsia" w:ascii="黑体" w:hAnsi="黑体" w:eastAsia="黑体"/>
          <w:sz w:val="28"/>
          <w:szCs w:val="28"/>
        </w:rPr>
        <w:t>与</w:t>
      </w:r>
      <w:r>
        <w:rPr>
          <w:rFonts w:ascii="黑体" w:hAnsi="黑体" w:eastAsia="黑体"/>
          <w:sz w:val="28"/>
          <w:szCs w:val="28"/>
        </w:rPr>
        <w:t>发展规划</w:t>
      </w:r>
    </w:p>
    <w:p>
      <w:pPr>
        <w:shd w:val="clear" w:color="auto" w:fill="FFFFFF"/>
        <w:spacing w:line="360" w:lineRule="auto"/>
        <w:ind w:firstLine="616"/>
        <w:rPr>
          <w:rFonts w:ascii="宋体" w:hAnsi="宋体"/>
          <w:b/>
          <w:bCs/>
          <w:sz w:val="28"/>
          <w:szCs w:val="28"/>
        </w:rPr>
      </w:pPr>
      <w:r>
        <w:rPr>
          <w:b/>
          <w:bCs/>
          <w:sz w:val="28"/>
          <w:szCs w:val="28"/>
        </w:rPr>
        <w:t>1.</w:t>
      </w:r>
      <w:r>
        <w:rPr>
          <w:rFonts w:ascii="宋体" w:hAnsi="宋体"/>
          <w:b/>
          <w:bCs/>
          <w:sz w:val="28"/>
          <w:szCs w:val="28"/>
        </w:rPr>
        <w:t xml:space="preserve"> </w:t>
      </w:r>
      <w:r>
        <w:rPr>
          <w:rFonts w:hint="eastAsia" w:ascii="宋体" w:hAnsi="宋体"/>
          <w:b/>
          <w:bCs/>
          <w:sz w:val="28"/>
          <w:szCs w:val="28"/>
        </w:rPr>
        <w:t>办学特色</w:t>
      </w:r>
    </w:p>
    <w:p>
      <w:pPr>
        <w:spacing w:line="360" w:lineRule="auto"/>
        <w:ind w:firstLine="480" w:firstLineChars="200"/>
        <w:rPr>
          <w:rFonts w:hint="eastAsia"/>
          <w:sz w:val="24"/>
        </w:rPr>
      </w:pPr>
      <w:r>
        <w:rPr>
          <w:rFonts w:hint="eastAsia"/>
          <w:sz w:val="24"/>
        </w:rPr>
        <w:t>学校以立德树人为根本任务，永远把学生成长放在首位，坚持“学科专业知识传授、核心价值观传承、能力素质养成”三位一体的教育理念，将专业教育、思政教育、通识教育和成长教育有机融合，搭建了“自由转专业+完全学分制+全程导师制”相结合的学生个性化发展育人平台，形成了“自由选择、严格管理、悉心引导”的学生成长机制，尊重学生的兴趣和个性，实行3-7年弹性学制，2020年1名毕业生率先实现3年修满学分毕业。</w:t>
      </w:r>
    </w:p>
    <w:p>
      <w:pPr>
        <w:spacing w:line="360" w:lineRule="auto"/>
        <w:ind w:firstLine="482" w:firstLineChars="200"/>
        <w:rPr>
          <w:b/>
          <w:bCs/>
          <w:color w:val="000000"/>
          <w:sz w:val="24"/>
        </w:rPr>
      </w:pPr>
      <w:r>
        <w:rPr>
          <w:b/>
          <w:bCs/>
          <w:color w:val="000000"/>
          <w:sz w:val="24"/>
        </w:rPr>
        <w:t>本专业</w:t>
      </w:r>
      <w:r>
        <w:rPr>
          <w:rFonts w:hint="eastAsia"/>
          <w:b/>
          <w:bCs/>
          <w:color w:val="000000"/>
          <w:sz w:val="24"/>
        </w:rPr>
        <w:t>的办学特色有三点：</w:t>
      </w:r>
    </w:p>
    <w:p>
      <w:pPr>
        <w:spacing w:line="360" w:lineRule="auto"/>
        <w:ind w:firstLine="482" w:firstLineChars="200"/>
        <w:rPr>
          <w:color w:val="000000"/>
          <w:sz w:val="24"/>
        </w:rPr>
      </w:pPr>
      <w:r>
        <w:rPr>
          <w:rFonts w:hint="eastAsia"/>
          <w:b/>
          <w:bCs/>
          <w:color w:val="000000"/>
          <w:sz w:val="24"/>
        </w:rPr>
        <w:t>（1）</w:t>
      </w:r>
      <w:bookmarkStart w:id="0" w:name="_Hlk75364543"/>
      <w:r>
        <w:rPr>
          <w:rFonts w:hint="eastAsia"/>
          <w:b/>
          <w:bCs/>
          <w:color w:val="000000"/>
          <w:sz w:val="24"/>
        </w:rPr>
        <w:t>强调“</w:t>
      </w:r>
      <w:r>
        <w:rPr>
          <w:b/>
          <w:bCs/>
          <w:color w:val="000000"/>
          <w:sz w:val="24"/>
        </w:rPr>
        <w:t>中西医并重</w:t>
      </w:r>
      <w:r>
        <w:rPr>
          <w:rFonts w:hint="eastAsia"/>
          <w:b/>
          <w:bCs/>
          <w:color w:val="000000"/>
          <w:sz w:val="24"/>
        </w:rPr>
        <w:t>”，将中医“治未病”理论与现代健康管理理论相融合</w:t>
      </w:r>
      <w:r>
        <w:rPr>
          <w:rFonts w:hint="eastAsia"/>
          <w:color w:val="000000"/>
          <w:sz w:val="24"/>
        </w:rPr>
        <w:t>。</w:t>
      </w:r>
      <w:bookmarkEnd w:id="0"/>
      <w:r>
        <w:rPr>
          <w:rFonts w:hint="eastAsia"/>
          <w:color w:val="000000"/>
          <w:sz w:val="24"/>
        </w:rPr>
        <w:t>中医药学是中华文明的重要遗产和瑰宝，蕴藏着宝贵的健康养生经验和理论。发展中医药是国家战略，在我国的健康事业中占有重要地位。传承中医治未病理论，吸收现代健康管理的优秀成果，对于培养中国特色的健康管理人才至关重要。</w:t>
      </w:r>
    </w:p>
    <w:p>
      <w:pPr>
        <w:spacing w:line="360" w:lineRule="auto"/>
        <w:ind w:firstLine="482" w:firstLineChars="200"/>
        <w:rPr>
          <w:color w:val="000000"/>
          <w:sz w:val="24"/>
        </w:rPr>
      </w:pPr>
      <w:r>
        <w:rPr>
          <w:rFonts w:hint="eastAsia"/>
          <w:b/>
          <w:bCs/>
          <w:color w:val="000000"/>
          <w:sz w:val="24"/>
        </w:rPr>
        <w:t>（2）重视信息科学技术在健康管理中的价值。</w:t>
      </w:r>
      <w:r>
        <w:rPr>
          <w:rFonts w:hint="eastAsia"/>
          <w:color w:val="000000"/>
          <w:sz w:val="24"/>
        </w:rPr>
        <w:t>现代信息技术发展日新月异，飞速发展，与健康产业的融合，产生了许多新概念、新技术和新业态，如人工智能、大数据、可穿戴式健康监测设备等。健康数据的收集、分析与管理，是开展精准的个性化健康管理的前提。</w:t>
      </w:r>
    </w:p>
    <w:p>
      <w:pPr>
        <w:spacing w:line="360" w:lineRule="auto"/>
        <w:ind w:firstLine="482" w:firstLineChars="200"/>
        <w:rPr>
          <w:color w:val="000000"/>
          <w:sz w:val="24"/>
        </w:rPr>
      </w:pPr>
      <w:r>
        <w:rPr>
          <w:rFonts w:hint="eastAsia"/>
          <w:b/>
          <w:bCs/>
          <w:color w:val="000000"/>
          <w:sz w:val="24"/>
        </w:rPr>
        <w:t>（3）回归健康管理的社会学和管理学本质。</w:t>
      </w:r>
      <w:r>
        <w:rPr>
          <w:rFonts w:hint="eastAsia"/>
          <w:color w:val="000000"/>
          <w:sz w:val="24"/>
        </w:rPr>
        <w:t>社会发展与变化，如老龄人口的健康需求、慢性疾病的管理，不仅仅是个医学问题和健康问题，而是关系到政治、社会、经济、文化的方方面面，牵一发而动全身。这要求面向社会的健康服务与管理人才，必需具备多元知识结构，既要关注人的身心健康，也要关注影响健康的客观因素。只有这样，才能真正完成健康管理的决策、计划、组织和沟通等管理学功能。</w:t>
      </w:r>
    </w:p>
    <w:p>
      <w:pPr>
        <w:spacing w:line="360" w:lineRule="auto"/>
        <w:ind w:firstLine="616"/>
        <w:rPr>
          <w:b/>
          <w:bCs/>
          <w:sz w:val="28"/>
          <w:szCs w:val="28"/>
        </w:rPr>
      </w:pPr>
    </w:p>
    <w:p>
      <w:pPr>
        <w:spacing w:line="360" w:lineRule="auto"/>
        <w:ind w:firstLine="616"/>
        <w:rPr>
          <w:b/>
          <w:bCs/>
          <w:sz w:val="28"/>
          <w:szCs w:val="28"/>
        </w:rPr>
      </w:pPr>
      <w:r>
        <w:rPr>
          <w:rFonts w:hint="eastAsia"/>
          <w:b/>
          <w:bCs/>
          <w:sz w:val="28"/>
          <w:szCs w:val="28"/>
        </w:rPr>
        <w:t>2.发展规划</w:t>
      </w:r>
    </w:p>
    <w:p>
      <w:pPr>
        <w:autoSpaceDE w:val="0"/>
        <w:autoSpaceDN w:val="0"/>
        <w:spacing w:before="120" w:beforeLines="50" w:after="120" w:afterLines="50"/>
        <w:ind w:left="567"/>
        <w:jc w:val="left"/>
        <w:rPr>
          <w:rFonts w:eastAsia="仿宋"/>
          <w:b/>
          <w:bCs/>
          <w:sz w:val="24"/>
          <w:szCs w:val="32"/>
        </w:rPr>
      </w:pPr>
      <w:r>
        <w:rPr>
          <w:rFonts w:hint="eastAsia" w:eastAsia="仿宋"/>
          <w:b/>
          <w:bCs/>
          <w:sz w:val="24"/>
          <w:szCs w:val="32"/>
        </w:rPr>
        <w:t>（1）</w:t>
      </w:r>
      <w:r>
        <w:rPr>
          <w:rFonts w:eastAsia="仿宋"/>
          <w:b/>
          <w:bCs/>
          <w:sz w:val="24"/>
          <w:szCs w:val="32"/>
        </w:rPr>
        <w:t>师资建设</w:t>
      </w:r>
    </w:p>
    <w:p>
      <w:pPr>
        <w:spacing w:line="400" w:lineRule="exact"/>
        <w:ind w:left="210" w:leftChars="100" w:right="630" w:rightChars="300" w:firstLine="480" w:firstLineChars="200"/>
        <w:rPr>
          <w:sz w:val="24"/>
          <w:szCs w:val="32"/>
        </w:rPr>
      </w:pPr>
      <w:r>
        <w:rPr>
          <w:sz w:val="24"/>
          <w:szCs w:val="32"/>
        </w:rPr>
        <w:t>在稳定现有师资队伍建设基础上，采用引进与培养结合的方式加强师资队伍建设，整合人才资源，自2019学年开始，学校启动了面向全球引进百名青年博士计划、面向行业引进双师型博士计划、学科带头人招募计划，拟用3-5年的时间新增300名高水平师资，为创建一流的教师队伍砥砺奋进。现阶段，本院健康服务与管理专业拟建设拥有13人的专业师资团队，其中专职教师10人，兼职教师3人；其中副教授及以上职称教师5人；拥有博士学历教师3人，硕士学历教师10人，其中与南方学院公共管理学院、云康医学与健康学院、护理与健康学院共享享专职5人，拟新聘5人。计划未来4年招生约200人，师生比约为1:15.4。</w:t>
      </w:r>
    </w:p>
    <w:p>
      <w:pPr>
        <w:autoSpaceDE w:val="0"/>
        <w:autoSpaceDN w:val="0"/>
        <w:spacing w:before="120" w:beforeLines="50" w:after="120" w:afterLines="50"/>
        <w:ind w:firstLine="482" w:firstLineChars="200"/>
        <w:jc w:val="left"/>
        <w:rPr>
          <w:rFonts w:eastAsia="仿宋"/>
          <w:b/>
          <w:bCs/>
          <w:sz w:val="24"/>
          <w:szCs w:val="32"/>
        </w:rPr>
      </w:pPr>
      <w:r>
        <w:rPr>
          <w:rFonts w:hint="eastAsia" w:eastAsia="仿宋"/>
          <w:b/>
          <w:bCs/>
          <w:sz w:val="24"/>
          <w:szCs w:val="32"/>
        </w:rPr>
        <w:t>（2）</w:t>
      </w:r>
      <w:r>
        <w:rPr>
          <w:rFonts w:eastAsia="仿宋"/>
          <w:b/>
          <w:bCs/>
          <w:sz w:val="24"/>
          <w:szCs w:val="32"/>
        </w:rPr>
        <w:t>人才培养</w:t>
      </w:r>
    </w:p>
    <w:p>
      <w:pPr>
        <w:spacing w:line="400" w:lineRule="exact"/>
        <w:ind w:left="210" w:leftChars="100" w:right="630" w:rightChars="300" w:firstLine="480" w:firstLineChars="200"/>
        <w:rPr>
          <w:sz w:val="24"/>
          <w:szCs w:val="32"/>
        </w:rPr>
      </w:pPr>
      <w:r>
        <w:rPr>
          <w:sz w:val="24"/>
          <w:szCs w:val="32"/>
        </w:rPr>
        <w:t>以社会需求为导向，培养知识与实践能力并重、具有专业基本理论、基本知识和基本技能，有一定实践能力、创新能力和发展潜力的应用型人才。掌握管理学、经济学、临床医学、预防医学、健康服务的基本理论知识和疾病预防与控制工作的基本能力；具有分析影响人群健康的各种因素和疾病流行规律，制定预防疾病和增进人群健康措施与计划的基本能力。</w:t>
      </w:r>
    </w:p>
    <w:p>
      <w:pPr>
        <w:autoSpaceDE w:val="0"/>
        <w:autoSpaceDN w:val="0"/>
        <w:spacing w:before="120" w:beforeLines="50" w:after="120" w:afterLines="50"/>
        <w:ind w:firstLine="482" w:firstLineChars="200"/>
        <w:jc w:val="left"/>
        <w:rPr>
          <w:rFonts w:eastAsia="仿宋"/>
          <w:b/>
          <w:bCs/>
          <w:sz w:val="24"/>
          <w:szCs w:val="32"/>
        </w:rPr>
      </w:pPr>
      <w:r>
        <w:rPr>
          <w:rFonts w:hint="eastAsia" w:eastAsia="仿宋"/>
          <w:b/>
          <w:bCs/>
          <w:sz w:val="24"/>
          <w:szCs w:val="32"/>
        </w:rPr>
        <w:t>（3）</w:t>
      </w:r>
      <w:r>
        <w:rPr>
          <w:rFonts w:eastAsia="仿宋"/>
          <w:b/>
          <w:bCs/>
          <w:sz w:val="24"/>
          <w:szCs w:val="32"/>
        </w:rPr>
        <w:t>专业发展</w:t>
      </w:r>
    </w:p>
    <w:p>
      <w:pPr>
        <w:spacing w:line="400" w:lineRule="exact"/>
        <w:ind w:left="210" w:leftChars="100" w:right="630" w:rightChars="300" w:firstLine="480" w:firstLineChars="200"/>
        <w:rPr>
          <w:sz w:val="24"/>
          <w:szCs w:val="32"/>
        </w:rPr>
      </w:pPr>
      <w:r>
        <w:rPr>
          <w:rFonts w:hint="eastAsia"/>
          <w:sz w:val="24"/>
          <w:szCs w:val="32"/>
        </w:rPr>
        <w:t>广州南方学院中医药学院，将紧密契合我省我市未来产业创新发展战略，按照中医药类高级应用人才培养目标，与中医药+ 健康养生产业链对接，以中药类专业为龙头、大健康相关专业群和中医相关技术类专业群为两翼的发展思路开设专业。以后随着社会人才需求情况和学院发展实际情况逐步增设中医学、针灸推拿学、中医养生学等专业，努力争取创新开设中医传承特色专业。</w:t>
      </w:r>
      <w:r>
        <w:rPr>
          <w:sz w:val="24"/>
          <w:szCs w:val="32"/>
        </w:rPr>
        <w:t>充分利用我校的核心优势，结合专业发展实际情况，采取年招生数人数控制在50-60人左右稳步发展</w:t>
      </w:r>
      <w:r>
        <w:rPr>
          <w:rFonts w:hint="eastAsia"/>
          <w:sz w:val="24"/>
          <w:szCs w:val="32"/>
        </w:rPr>
        <w:t>策略</w:t>
      </w:r>
      <w:r>
        <w:rPr>
          <w:sz w:val="24"/>
          <w:szCs w:val="32"/>
        </w:rPr>
        <w:t>。通过改革课程设置、教学内容、教学方法,强化基本技能训练,注重实践能力和创新能力的培养,加强理论与实践紧密结合的教学体系,构建应用型的健康服务与管理专业培养模式。</w:t>
      </w:r>
    </w:p>
    <w:p>
      <w:pPr>
        <w:spacing w:line="400" w:lineRule="exact"/>
        <w:ind w:left="210" w:leftChars="100" w:right="630" w:rightChars="300" w:firstLine="480" w:firstLineChars="200"/>
        <w:rPr>
          <w:sz w:val="24"/>
          <w:szCs w:val="32"/>
        </w:rPr>
      </w:pPr>
      <w:r>
        <w:rPr>
          <w:sz w:val="24"/>
          <w:szCs w:val="32"/>
        </w:rPr>
        <w:t>未来5年内，初步建立规模结构合理的健康服务与管理专业教育教学体系，打造1-2门省级示范课程；充分利用社会健康管理与服务资源，联合建成5</w:t>
      </w:r>
      <w:r>
        <w:rPr>
          <w:rFonts w:hint="eastAsia"/>
          <w:sz w:val="24"/>
          <w:szCs w:val="32"/>
        </w:rPr>
        <w:t>-</w:t>
      </w:r>
      <w:r>
        <w:rPr>
          <w:sz w:val="24"/>
          <w:szCs w:val="32"/>
        </w:rPr>
        <w:t>10个中医药健康服务与管理实践基地，在中医药健康管理和市场服务领域形成较强的行业竞争力；争取1-3项厅局级或省部级科研课题立项，逐渐发展成为本校和广东省健康服务与管理专业科学研究的重要平台。本科招生规模不断扩大，逐步夯实本专业研究生等高级人才培养的前期基础，逐步扩大本专业的社会影响力。</w:t>
      </w:r>
    </w:p>
    <w:p>
      <w:pPr>
        <w:spacing w:line="360" w:lineRule="auto"/>
        <w:rPr>
          <w:rFonts w:ascii="黑体" w:hAnsi="黑体" w:eastAsia="黑体"/>
          <w:sz w:val="28"/>
          <w:szCs w:val="28"/>
        </w:rPr>
      </w:pPr>
    </w:p>
    <w:p>
      <w:pPr>
        <w:spacing w:line="360" w:lineRule="auto"/>
        <w:rPr>
          <w:rFonts w:ascii="黑体" w:hAnsi="黑体" w:eastAsia="黑体"/>
          <w:sz w:val="28"/>
          <w:szCs w:val="28"/>
        </w:rPr>
      </w:pPr>
      <w:r>
        <w:rPr>
          <w:rFonts w:hint="eastAsia" w:ascii="黑体" w:hAnsi="黑体" w:eastAsia="黑体"/>
          <w:sz w:val="28"/>
          <w:szCs w:val="28"/>
        </w:rPr>
        <w:t>二、</w:t>
      </w:r>
      <w:r>
        <w:rPr>
          <w:rFonts w:ascii="黑体" w:hAnsi="黑体" w:eastAsia="黑体"/>
          <w:sz w:val="28"/>
          <w:szCs w:val="28"/>
        </w:rPr>
        <w:t>健康服务</w:t>
      </w:r>
      <w:r>
        <w:rPr>
          <w:rFonts w:hint="eastAsia" w:ascii="黑体" w:hAnsi="黑体" w:eastAsia="黑体"/>
          <w:sz w:val="28"/>
          <w:szCs w:val="28"/>
        </w:rPr>
        <w:t>与管理</w:t>
      </w:r>
      <w:r>
        <w:rPr>
          <w:rFonts w:ascii="黑体" w:hAnsi="黑体" w:eastAsia="黑体"/>
          <w:sz w:val="28"/>
          <w:szCs w:val="28"/>
        </w:rPr>
        <w:t>专业人才需求</w:t>
      </w:r>
      <w:r>
        <w:rPr>
          <w:rFonts w:hint="eastAsia" w:ascii="黑体" w:hAnsi="黑体" w:eastAsia="黑体"/>
          <w:sz w:val="28"/>
          <w:szCs w:val="28"/>
        </w:rPr>
        <w:t>预测</w:t>
      </w:r>
      <w:r>
        <w:rPr>
          <w:rFonts w:ascii="黑体" w:hAnsi="黑体" w:eastAsia="黑体"/>
          <w:sz w:val="28"/>
          <w:szCs w:val="28"/>
        </w:rPr>
        <w:t>分析</w:t>
      </w:r>
    </w:p>
    <w:p>
      <w:pPr>
        <w:spacing w:line="360" w:lineRule="auto"/>
        <w:ind w:firstLine="480" w:firstLineChars="200"/>
        <w:rPr>
          <w:sz w:val="24"/>
        </w:rPr>
      </w:pPr>
      <w:r>
        <w:rPr>
          <w:rFonts w:hint="eastAsia"/>
          <w:sz w:val="24"/>
        </w:rPr>
        <w:t>健康管理是20世纪50年代末最先在美国提出的概念，逐步发展成为区别于医院等传统医疗机构的专业健康管理公司，并作为第三方的服务机构和医疗保险机构或直接面向个体需求，提供系统专业的健康管理服务。从全球来看，根据《柳叶刀》杂志2018年11月发布的2017全球疾病负担研究(Global Burden of Disease Study 201</w:t>
      </w:r>
      <w:r>
        <w:rPr>
          <w:sz w:val="24"/>
        </w:rPr>
        <w:t>9</w:t>
      </w:r>
      <w:r>
        <w:rPr>
          <w:rFonts w:hint="eastAsia"/>
          <w:sz w:val="24"/>
        </w:rPr>
        <w:t>, GBD)显示，2017年，全球范围内，传染性、孕产妇、新生儿和营养(CMNN)的原因导致的死亡，占全球死亡的18.6%(1040万)，而慢性非传染性疾病(NCD)占73.4%(4110万)，伤害占8.0%(448万)。因慢性病导致的死亡人数占全球总死亡人数达的70%以上，已然成为全球范围内过早死亡最为主要的原因。因此，健康管理和疾病管理对于提升国民身体素质、提高医疗效率、减轻医院的负担，是必不可少的。</w:t>
      </w:r>
    </w:p>
    <w:p>
      <w:pPr>
        <w:spacing w:line="360" w:lineRule="auto"/>
        <w:ind w:firstLine="562" w:firstLineChars="200"/>
        <w:rPr>
          <w:b/>
          <w:bCs/>
          <w:sz w:val="28"/>
          <w:szCs w:val="28"/>
        </w:rPr>
      </w:pPr>
      <w:r>
        <w:rPr>
          <w:b/>
          <w:bCs/>
          <w:sz w:val="28"/>
          <w:szCs w:val="28"/>
        </w:rPr>
        <w:t>1. 大健康产业快速发展对</w:t>
      </w:r>
      <w:r>
        <w:rPr>
          <w:rFonts w:hint="eastAsia"/>
          <w:b/>
          <w:bCs/>
          <w:sz w:val="28"/>
          <w:szCs w:val="28"/>
        </w:rPr>
        <w:t>健康服务与管理</w:t>
      </w:r>
      <w:r>
        <w:rPr>
          <w:b/>
          <w:bCs/>
          <w:sz w:val="28"/>
          <w:szCs w:val="28"/>
        </w:rPr>
        <w:t>人才的需求</w:t>
      </w:r>
    </w:p>
    <w:p>
      <w:pPr>
        <w:spacing w:line="360" w:lineRule="auto"/>
        <w:ind w:firstLine="480" w:firstLineChars="200"/>
        <w:rPr>
          <w:sz w:val="24"/>
        </w:rPr>
      </w:pPr>
      <w:r>
        <w:rPr>
          <w:sz w:val="24"/>
        </w:rPr>
        <w:t>我国大健康产业由医疗性健康服务和非医疗性健康服务两大部分构成，已形成了四大基本产业群体：以医疗服务机构为主体的医疗产业，以药品、医疗器械以及其他医疗耗材产销为主体的医药产业，以保健食品、健康产品产销为主体的保健品产业，以个性化健康检测评估、咨询服务、调理康复、保障促进等为主体的健康管理服务产业。与此同时，我国大健康产业的产业链已经逐步完善，新兴业态正在不断涌现，健康领域新兴产业包括养老产业、医疗旅游、营养保健产品研发制造、高端医疗器械研发制造、互联网医疗等。</w:t>
      </w:r>
    </w:p>
    <w:p>
      <w:pPr>
        <w:spacing w:line="360" w:lineRule="auto"/>
        <w:ind w:firstLine="480" w:firstLineChars="200"/>
        <w:rPr>
          <w:sz w:val="24"/>
        </w:rPr>
      </w:pPr>
      <w:r>
        <w:rPr>
          <w:sz w:val="24"/>
        </w:rPr>
        <w:t>“健康中国2030年规划纲要”健康服务业总规模指标要求到2020年超过8万亿元；到2030年超过16万亿元。</w:t>
      </w:r>
      <w:r>
        <w:rPr>
          <w:rFonts w:hint="eastAsia"/>
          <w:sz w:val="24"/>
        </w:rPr>
        <w:t>2016-2020年我国大健康产业规模由3.2万亿元增至7.4万亿元，年均复合增长率为23.3%。大</w:t>
      </w:r>
      <w:r>
        <w:rPr>
          <w:sz w:val="24"/>
        </w:rPr>
        <w:t>健康产业将成为“互联网+”后的下一个“黄金产业”。</w:t>
      </w:r>
      <w:r>
        <w:rPr>
          <w:rFonts w:hint="eastAsia"/>
          <w:sz w:val="24"/>
        </w:rPr>
        <w:t>如此体量</w:t>
      </w:r>
      <w:r>
        <w:rPr>
          <w:sz w:val="24"/>
        </w:rPr>
        <w:t>庞大的产业</w:t>
      </w:r>
      <w:r>
        <w:rPr>
          <w:rFonts w:hint="eastAsia"/>
          <w:sz w:val="24"/>
        </w:rPr>
        <w:t>规模</w:t>
      </w:r>
      <w:r>
        <w:rPr>
          <w:sz w:val="24"/>
        </w:rPr>
        <w:t>对健康服务与管理</w:t>
      </w:r>
      <w:r>
        <w:rPr>
          <w:rFonts w:hint="eastAsia"/>
          <w:sz w:val="24"/>
        </w:rPr>
        <w:t>从业</w:t>
      </w:r>
      <w:r>
        <w:rPr>
          <w:sz w:val="24"/>
        </w:rPr>
        <w:t>人才的需求是巨大的。</w:t>
      </w:r>
      <w:r>
        <w:rPr>
          <w:rFonts w:hint="eastAsia"/>
          <w:sz w:val="24"/>
        </w:rPr>
        <w:t>以健康服务与管理产业占大健康产业的2.5</w:t>
      </w:r>
      <w:r>
        <w:rPr>
          <w:sz w:val="24"/>
        </w:rPr>
        <w:t>%</w:t>
      </w:r>
      <w:r>
        <w:rPr>
          <w:rFonts w:hint="eastAsia"/>
          <w:sz w:val="24"/>
        </w:rPr>
        <w:t>计算，2</w:t>
      </w:r>
      <w:r>
        <w:rPr>
          <w:sz w:val="24"/>
        </w:rPr>
        <w:t>031</w:t>
      </w:r>
      <w:r>
        <w:rPr>
          <w:rFonts w:hint="eastAsia"/>
          <w:sz w:val="24"/>
        </w:rPr>
        <w:t>年将达到5</w:t>
      </w:r>
      <w:r>
        <w:rPr>
          <w:sz w:val="24"/>
        </w:rPr>
        <w:t>750</w:t>
      </w:r>
      <w:r>
        <w:rPr>
          <w:rFonts w:hint="eastAsia"/>
          <w:sz w:val="24"/>
        </w:rPr>
        <w:t>亿，以人均G</w:t>
      </w:r>
      <w:r>
        <w:rPr>
          <w:sz w:val="24"/>
        </w:rPr>
        <w:t>DP 12</w:t>
      </w:r>
      <w:r>
        <w:rPr>
          <w:rFonts w:hint="eastAsia"/>
          <w:sz w:val="24"/>
        </w:rPr>
        <w:t>万估算（按2</w:t>
      </w:r>
      <w:r>
        <w:rPr>
          <w:sz w:val="24"/>
        </w:rPr>
        <w:t>020</w:t>
      </w:r>
      <w:r>
        <w:rPr>
          <w:rFonts w:hint="eastAsia"/>
          <w:sz w:val="24"/>
        </w:rPr>
        <w:t>年的全国人均7.</w:t>
      </w:r>
      <w:r>
        <w:rPr>
          <w:sz w:val="24"/>
        </w:rPr>
        <w:t>25</w:t>
      </w:r>
      <w:r>
        <w:rPr>
          <w:rFonts w:hint="eastAsia"/>
          <w:sz w:val="24"/>
        </w:rPr>
        <w:t>万，年增长5%估算），产业人口将达到</w:t>
      </w:r>
      <w:r>
        <w:rPr>
          <w:sz w:val="24"/>
        </w:rPr>
        <w:t>480</w:t>
      </w:r>
      <w:r>
        <w:rPr>
          <w:rFonts w:hint="eastAsia"/>
          <w:sz w:val="24"/>
        </w:rPr>
        <w:t>万左右。</w:t>
      </w:r>
    </w:p>
    <w:p>
      <w:pPr>
        <w:spacing w:line="360" w:lineRule="auto"/>
        <w:ind w:firstLine="562" w:firstLineChars="200"/>
        <w:rPr>
          <w:rFonts w:ascii="宋体" w:hAnsi="宋体"/>
          <w:b/>
          <w:bCs/>
          <w:sz w:val="28"/>
          <w:szCs w:val="28"/>
        </w:rPr>
      </w:pPr>
      <w:r>
        <w:rPr>
          <w:rFonts w:hint="eastAsia" w:ascii="宋体" w:hAnsi="宋体"/>
          <w:b/>
          <w:bCs/>
          <w:sz w:val="28"/>
          <w:szCs w:val="28"/>
        </w:rPr>
        <w:t>2.</w:t>
      </w:r>
      <w:r>
        <w:rPr>
          <w:rFonts w:ascii="宋体" w:hAnsi="宋体"/>
          <w:b/>
          <w:bCs/>
          <w:sz w:val="28"/>
          <w:szCs w:val="28"/>
        </w:rPr>
        <w:t xml:space="preserve"> </w:t>
      </w:r>
      <w:r>
        <w:rPr>
          <w:rFonts w:hint="eastAsia" w:ascii="宋体" w:hAnsi="宋体"/>
          <w:b/>
          <w:bCs/>
          <w:sz w:val="28"/>
          <w:szCs w:val="28"/>
        </w:rPr>
        <w:t>疾病谱改变</w:t>
      </w:r>
      <w:r>
        <w:rPr>
          <w:rFonts w:ascii="宋体" w:hAnsi="宋体"/>
          <w:b/>
          <w:bCs/>
          <w:sz w:val="28"/>
          <w:szCs w:val="28"/>
        </w:rPr>
        <w:t>对</w:t>
      </w:r>
      <w:r>
        <w:rPr>
          <w:rFonts w:hint="eastAsia"/>
          <w:b/>
          <w:bCs/>
          <w:sz w:val="28"/>
          <w:szCs w:val="28"/>
        </w:rPr>
        <w:t>健康服务与管理</w:t>
      </w:r>
      <w:r>
        <w:rPr>
          <w:rFonts w:ascii="宋体" w:hAnsi="宋体"/>
          <w:b/>
          <w:bCs/>
          <w:sz w:val="28"/>
          <w:szCs w:val="28"/>
        </w:rPr>
        <w:t>人才的需求</w:t>
      </w:r>
    </w:p>
    <w:p>
      <w:pPr>
        <w:spacing w:line="360" w:lineRule="auto"/>
        <w:ind w:firstLine="480" w:firstLineChars="200"/>
        <w:rPr>
          <w:sz w:val="24"/>
        </w:rPr>
      </w:pPr>
      <w:r>
        <w:rPr>
          <w:sz w:val="24"/>
        </w:rPr>
        <w:t>目前我国由于工业化、城镇化、人口老龄化以及疾病谱、生态环境和生活方式的不断改变, 当前危害我国人口健康的疾病流行与发展已经发生了大变化，所呈现的趋势为：传染性疾病越来越少了，而慢性非传染性疾病越来越多；感染性疾病越来越少，而过敏性疾病越来越多；单一生理功能性疾病少了，而精神心理性疾病越来越多了。而且在大健康观念的时代，也随着医学模式的转变, 群众的健康意识从治疗疾病逐渐向预防疾病和提高健康水平方向做出调整, 人民群众对于健康的需求也在随着经济社会的发展而日益增长, 对于养生保健、健康长寿更加期待, 迫切需要我们大力发展健康服务产业。</w:t>
      </w:r>
      <w:r>
        <w:rPr>
          <w:rFonts w:hint="eastAsia"/>
          <w:sz w:val="24"/>
        </w:rPr>
        <w:t>以每1</w:t>
      </w:r>
      <w:r>
        <w:rPr>
          <w:sz w:val="24"/>
        </w:rPr>
        <w:t>000</w:t>
      </w:r>
      <w:r>
        <w:rPr>
          <w:rFonts w:hint="eastAsia"/>
          <w:sz w:val="24"/>
        </w:rPr>
        <w:t>人配备</w:t>
      </w:r>
      <w:r>
        <w:rPr>
          <w:sz w:val="24"/>
        </w:rPr>
        <w:t>3</w:t>
      </w:r>
      <w:r>
        <w:rPr>
          <w:rFonts w:hint="eastAsia"/>
          <w:sz w:val="24"/>
        </w:rPr>
        <w:t>-</w:t>
      </w:r>
      <w:r>
        <w:rPr>
          <w:sz w:val="24"/>
        </w:rPr>
        <w:t>5</w:t>
      </w:r>
      <w:r>
        <w:rPr>
          <w:rFonts w:hint="eastAsia"/>
          <w:sz w:val="24"/>
        </w:rPr>
        <w:t>名健康服务与管理人员计算，我国需要4</w:t>
      </w:r>
      <w:r>
        <w:rPr>
          <w:sz w:val="24"/>
        </w:rPr>
        <w:t>20</w:t>
      </w:r>
      <w:r>
        <w:rPr>
          <w:rFonts w:hint="eastAsia"/>
          <w:sz w:val="24"/>
        </w:rPr>
        <w:t>-</w:t>
      </w:r>
      <w:r>
        <w:rPr>
          <w:sz w:val="24"/>
        </w:rPr>
        <w:t>700</w:t>
      </w:r>
      <w:r>
        <w:rPr>
          <w:rFonts w:hint="eastAsia"/>
          <w:sz w:val="24"/>
        </w:rPr>
        <w:t>万相关专业人才；以广东省1.</w:t>
      </w:r>
      <w:r>
        <w:rPr>
          <w:sz w:val="24"/>
        </w:rPr>
        <w:t>1</w:t>
      </w:r>
      <w:r>
        <w:rPr>
          <w:rFonts w:hint="eastAsia"/>
          <w:sz w:val="24"/>
        </w:rPr>
        <w:t>亿人口推算，需要3</w:t>
      </w:r>
      <w:r>
        <w:rPr>
          <w:sz w:val="24"/>
        </w:rPr>
        <w:t>3</w:t>
      </w:r>
      <w:r>
        <w:rPr>
          <w:rFonts w:hint="eastAsia"/>
          <w:sz w:val="24"/>
        </w:rPr>
        <w:t>-</w:t>
      </w:r>
      <w:r>
        <w:rPr>
          <w:sz w:val="24"/>
        </w:rPr>
        <w:t>55</w:t>
      </w:r>
      <w:r>
        <w:rPr>
          <w:rFonts w:hint="eastAsia"/>
          <w:sz w:val="24"/>
        </w:rPr>
        <w:t>万从业人才。</w:t>
      </w:r>
    </w:p>
    <w:p>
      <w:pPr>
        <w:spacing w:line="360" w:lineRule="auto"/>
        <w:ind w:firstLine="562" w:firstLineChars="200"/>
        <w:rPr>
          <w:rFonts w:ascii="宋体" w:hAnsi="宋体"/>
          <w:b/>
          <w:bCs/>
          <w:sz w:val="28"/>
          <w:szCs w:val="28"/>
        </w:rPr>
      </w:pPr>
      <w:r>
        <w:rPr>
          <w:rFonts w:hint="eastAsia" w:ascii="宋体" w:hAnsi="宋体"/>
          <w:b/>
          <w:bCs/>
          <w:sz w:val="28"/>
          <w:szCs w:val="28"/>
        </w:rPr>
        <w:t>3.供给侧改革</w:t>
      </w:r>
      <w:r>
        <w:rPr>
          <w:rFonts w:ascii="宋体" w:hAnsi="宋体"/>
          <w:b/>
          <w:bCs/>
          <w:sz w:val="28"/>
          <w:szCs w:val="28"/>
        </w:rPr>
        <w:t>对</w:t>
      </w:r>
      <w:r>
        <w:rPr>
          <w:rFonts w:hint="eastAsia" w:ascii="宋体" w:hAnsi="宋体"/>
          <w:b/>
          <w:bCs/>
          <w:sz w:val="28"/>
          <w:szCs w:val="28"/>
        </w:rPr>
        <w:t>高质量</w:t>
      </w:r>
      <w:r>
        <w:rPr>
          <w:rFonts w:ascii="宋体" w:hAnsi="宋体"/>
          <w:b/>
          <w:bCs/>
          <w:sz w:val="28"/>
          <w:szCs w:val="28"/>
        </w:rPr>
        <w:t>健康服务与管理人才的需求</w:t>
      </w:r>
    </w:p>
    <w:p>
      <w:pPr>
        <w:spacing w:line="360" w:lineRule="auto"/>
        <w:ind w:firstLine="480" w:firstLineChars="200"/>
        <w:rPr>
          <w:sz w:val="24"/>
        </w:rPr>
      </w:pPr>
      <w:r>
        <w:rPr>
          <w:rFonts w:hint="eastAsia"/>
          <w:sz w:val="24"/>
        </w:rPr>
        <w:t>改革开放四十多年来，中国经济持续高速增长，成功步入中等收入国家行列，已成为世界第二经济大国。但随着人口红利衰减、“中等收入陷阱”风险累积、国际经济格局深刻调整等一系列内因与外因的作用，经济发展正进入“新常态”。为适应这种变化，中共中央和国务院及时推进供给侧结构性改革，通过改革制度供给，大力激发微观经济主体活力，增强我国经济长期稳定发展的新动力。随着新冠疫情在全球的肆虐，导致国际政治、经济环境发生重大变化，加快构建以国内大循环为主体、国内国际双循环相互促进的新发展格局，这是以习近平同志为核心的党中央科学应对百年变局、重塑竞争格局、开拓发展新局的战略部署，是对我国全面建成小康社会、实现第一个百年奋斗目标之后，乘势而上开启全面建设社会主义现代化国家新征程、向第二个百年奋斗目标进军的方向性指引。“供给侧改革”和“国内大循环”是一脉相承。从健康产业和健康市场来看，人民群众对健康的认知和需求在不断提高，但是，单纯从需求出发，难以杜绝类似近年的天价保健品、保健品分销之类的乱象。构建“健康、科学”的健康服务与管理从业人员队伍，从根本上改变和提升中国健康服务产业的质量，也是供给侧结构性改革对人力资源要素的题中应有之义。由于健康服务与管理本科专业开办时间仅有5年，开办学校相对有限，专业培养人数远远不能满足社会与市场的需要。人才供给侧亟需改革，才能满足健康服务与管理行业对高质量专业人才的要求。</w:t>
      </w:r>
    </w:p>
    <w:p>
      <w:pPr>
        <w:spacing w:line="360" w:lineRule="auto"/>
        <w:ind w:firstLine="562" w:firstLineChars="200"/>
        <w:rPr>
          <w:rFonts w:ascii="宋体" w:hAnsi="宋体"/>
          <w:b/>
          <w:bCs/>
          <w:sz w:val="28"/>
          <w:szCs w:val="28"/>
        </w:rPr>
      </w:pPr>
      <w:r>
        <w:rPr>
          <w:rFonts w:hint="eastAsia" w:ascii="宋体" w:hAnsi="宋体"/>
          <w:b/>
          <w:bCs/>
          <w:sz w:val="28"/>
          <w:szCs w:val="28"/>
        </w:rPr>
        <w:t>4.健康服务与管理专业人才需求预测</w:t>
      </w:r>
    </w:p>
    <w:p>
      <w:pPr>
        <w:spacing w:line="360" w:lineRule="auto"/>
        <w:ind w:firstLine="480" w:firstLineChars="200"/>
        <w:rPr>
          <w:sz w:val="24"/>
        </w:rPr>
      </w:pPr>
      <w:r>
        <w:rPr>
          <w:rFonts w:hint="eastAsia"/>
          <w:sz w:val="24"/>
        </w:rPr>
        <w:t>我国健康管理行业尚处于初级阶段，首家健康管理公司注册于2001年。迄今为止，国内已设立了6家国家级的健康管理协会或学会。2007 年中华医学会健康管理分会成立，同年《中华健康管理学杂志》创刊。《健康管理师国家职业标准》也在同年颁布，“健康管理师”成为被人社部认可的新兴职业。2009年中国健康管理专家达成《健康管理概念与学科体系的中国专家初步共识》。2016年，“健康中国2030”以及十三五”卫生与健康规划等一系列文件的出台也对发展健康产业提出了更确切的要求，健康管理服务产业及健康管理学科在我国的发展体系框架日益清晰。</w:t>
      </w:r>
    </w:p>
    <w:p>
      <w:pPr>
        <w:spacing w:line="360" w:lineRule="auto"/>
        <w:ind w:firstLine="480" w:firstLineChars="200"/>
        <w:rPr>
          <w:sz w:val="24"/>
        </w:rPr>
      </w:pPr>
      <w:r>
        <w:rPr>
          <w:sz w:val="24"/>
        </w:rPr>
        <w:t>2016年</w:t>
      </w:r>
      <w:r>
        <w:rPr>
          <w:rFonts w:hint="eastAsia"/>
          <w:sz w:val="24"/>
        </w:rPr>
        <w:t>，</w:t>
      </w:r>
      <w:r>
        <w:rPr>
          <w:sz w:val="24"/>
        </w:rPr>
        <w:t>教育部首次批准开设“健康服务与管理”专业</w:t>
      </w:r>
      <w:r>
        <w:rPr>
          <w:rFonts w:hint="eastAsia"/>
          <w:sz w:val="24"/>
        </w:rPr>
        <w:t>，首批</w:t>
      </w:r>
      <w:r>
        <w:rPr>
          <w:sz w:val="24"/>
        </w:rPr>
        <w:t>五所</w:t>
      </w:r>
      <w:r>
        <w:rPr>
          <w:rFonts w:hint="eastAsia"/>
          <w:sz w:val="24"/>
        </w:rPr>
        <w:t>高校</w:t>
      </w:r>
      <w:r>
        <w:rPr>
          <w:sz w:val="24"/>
        </w:rPr>
        <w:t>分别</w:t>
      </w:r>
      <w:r>
        <w:rPr>
          <w:rFonts w:hint="eastAsia"/>
          <w:sz w:val="24"/>
        </w:rPr>
        <w:t>是：</w:t>
      </w:r>
      <w:r>
        <w:rPr>
          <w:sz w:val="24"/>
        </w:rPr>
        <w:t>广东药科大学、浙江中医药大学、成都医学院、滨州医学院、山东体育学院。目前</w:t>
      </w:r>
      <w:r>
        <w:rPr>
          <w:rFonts w:hint="eastAsia"/>
          <w:sz w:val="24"/>
        </w:rPr>
        <w:t>，已经</w:t>
      </w:r>
      <w:r>
        <w:rPr>
          <w:sz w:val="24"/>
        </w:rPr>
        <w:t>有</w:t>
      </w:r>
      <w:r>
        <w:rPr>
          <w:rFonts w:hint="eastAsia"/>
          <w:sz w:val="24"/>
        </w:rPr>
        <w:t>1</w:t>
      </w:r>
      <w:r>
        <w:rPr>
          <w:sz w:val="24"/>
        </w:rPr>
        <w:t>23所</w:t>
      </w:r>
      <w:r>
        <w:rPr>
          <w:rFonts w:hint="eastAsia"/>
          <w:sz w:val="24"/>
        </w:rPr>
        <w:t>高校</w:t>
      </w:r>
      <w:r>
        <w:rPr>
          <w:sz w:val="24"/>
        </w:rPr>
        <w:t>开设“健康服务与管理”专业</w:t>
      </w:r>
      <w:r>
        <w:rPr>
          <w:rFonts w:hint="eastAsia"/>
          <w:sz w:val="24"/>
        </w:rPr>
        <w:t>。</w:t>
      </w:r>
      <w:r>
        <w:rPr>
          <w:sz w:val="24"/>
        </w:rPr>
        <w:t>但从</w:t>
      </w:r>
      <w:r>
        <w:rPr>
          <w:rFonts w:hint="eastAsia"/>
          <w:sz w:val="24"/>
        </w:rPr>
        <w:t>地区</w:t>
      </w:r>
      <w:r>
        <w:rPr>
          <w:sz w:val="24"/>
        </w:rPr>
        <w:t>分布来看，</w:t>
      </w:r>
      <w:r>
        <w:rPr>
          <w:rFonts w:hint="eastAsia"/>
          <w:sz w:val="24"/>
        </w:rPr>
        <w:t>广东省内</w:t>
      </w:r>
      <w:r>
        <w:rPr>
          <w:sz w:val="24"/>
        </w:rPr>
        <w:t>仅8所高校开设了这一专业，</w:t>
      </w:r>
      <w:r>
        <w:rPr>
          <w:rFonts w:hint="eastAsia"/>
          <w:sz w:val="24"/>
        </w:rPr>
        <w:t>每年招生</w:t>
      </w:r>
      <w:r>
        <w:rPr>
          <w:sz w:val="24"/>
        </w:rPr>
        <w:t>1000</w:t>
      </w:r>
      <w:r>
        <w:rPr>
          <w:rFonts w:hint="eastAsia"/>
          <w:sz w:val="24"/>
        </w:rPr>
        <w:t>人左右。</w:t>
      </w:r>
    </w:p>
    <w:p>
      <w:pPr>
        <w:spacing w:line="360" w:lineRule="auto"/>
        <w:ind w:firstLine="480" w:firstLineChars="200"/>
        <w:rPr>
          <w:sz w:val="24"/>
          <w:u w:val="single"/>
        </w:rPr>
      </w:pPr>
      <w:r>
        <w:rPr>
          <w:rFonts w:hint="eastAsia"/>
          <w:sz w:val="24"/>
          <w:u w:val="single"/>
        </w:rPr>
        <w:t>从以下两个口径可以看出，健康服务与管理人才需求缺口较大：</w:t>
      </w:r>
    </w:p>
    <w:p>
      <w:pPr>
        <w:spacing w:line="360" w:lineRule="auto"/>
        <w:ind w:firstLine="482" w:firstLineChars="200"/>
        <w:rPr>
          <w:sz w:val="24"/>
        </w:rPr>
      </w:pPr>
      <w:r>
        <w:rPr>
          <w:rFonts w:hint="eastAsia"/>
          <w:b/>
          <w:bCs/>
          <w:sz w:val="24"/>
        </w:rPr>
        <w:t>口径一：</w:t>
      </w:r>
      <w:r>
        <w:rPr>
          <w:rFonts w:hint="eastAsia"/>
          <w:sz w:val="24"/>
        </w:rPr>
        <w:t>以健康服务与管理产业占大健康产业的2.5%计算，2031年将达到5750亿，以人均GDP 12万估算（按2020年的全国人均7.25万，年增长5%估算），全国产业人口将达到480万左右。</w:t>
      </w:r>
    </w:p>
    <w:p>
      <w:pPr>
        <w:spacing w:line="360" w:lineRule="auto"/>
        <w:ind w:firstLine="482" w:firstLineChars="200"/>
        <w:rPr>
          <w:sz w:val="24"/>
        </w:rPr>
      </w:pPr>
      <w:r>
        <w:rPr>
          <w:rFonts w:hint="eastAsia"/>
          <w:b/>
          <w:bCs/>
          <w:sz w:val="24"/>
        </w:rPr>
        <w:t>口径二：</w:t>
      </w:r>
      <w:r>
        <w:rPr>
          <w:rFonts w:hint="eastAsia"/>
          <w:sz w:val="24"/>
        </w:rPr>
        <w:t>以每1000人配备3-5名健康服务与管理人员计算，我国需要420-700万相关专业人才；以广东省1.1亿人口推算，需要33-55万从业人才。</w:t>
      </w:r>
    </w:p>
    <w:p>
      <w:pPr>
        <w:spacing w:line="360" w:lineRule="auto"/>
        <w:ind w:firstLine="480" w:firstLineChars="200"/>
        <w:rPr>
          <w:sz w:val="24"/>
          <w:u w:val="single"/>
        </w:rPr>
      </w:pPr>
      <w:r>
        <w:rPr>
          <w:rFonts w:hint="eastAsia"/>
          <w:sz w:val="24"/>
        </w:rPr>
        <w:t>我国常见的健康管理公司，比如健康体检、健康养生等，往往偏重健康管理的某个环节，产业规模较小，产业生态链尚未成熟。在服务和产品设计覆盖了健康管理整个环节的服务机构少之又少。</w:t>
      </w:r>
      <w:r>
        <w:rPr>
          <w:sz w:val="24"/>
        </w:rPr>
        <w:t>以个性化健康服务为主体的健康管理服务产业，</w:t>
      </w:r>
      <w:r>
        <w:rPr>
          <w:rFonts w:hint="eastAsia"/>
          <w:sz w:val="24"/>
        </w:rPr>
        <w:t>预计</w:t>
      </w:r>
      <w:r>
        <w:rPr>
          <w:sz w:val="24"/>
        </w:rPr>
        <w:t>2031年市场规模</w:t>
      </w:r>
      <w:r>
        <w:rPr>
          <w:rFonts w:hint="eastAsia"/>
          <w:sz w:val="24"/>
        </w:rPr>
        <w:t>将达到5</w:t>
      </w:r>
      <w:r>
        <w:rPr>
          <w:sz w:val="24"/>
        </w:rPr>
        <w:t>750亿元</w:t>
      </w:r>
      <w:r>
        <w:rPr>
          <w:rFonts w:hint="eastAsia"/>
          <w:sz w:val="24"/>
        </w:rPr>
        <w:t>。</w:t>
      </w:r>
      <w:r>
        <w:rPr>
          <w:sz w:val="24"/>
        </w:rPr>
        <w:t>其巨大的增长空间以及抗经济周期的特点，已经吸引了大量</w:t>
      </w:r>
      <w:r>
        <w:rPr>
          <w:rFonts w:hint="eastAsia"/>
          <w:sz w:val="24"/>
        </w:rPr>
        <w:t>国内外</w:t>
      </w:r>
      <w:r>
        <w:rPr>
          <w:sz w:val="24"/>
        </w:rPr>
        <w:t>资本</w:t>
      </w:r>
      <w:r>
        <w:rPr>
          <w:rFonts w:hint="eastAsia"/>
          <w:sz w:val="24"/>
        </w:rPr>
        <w:t>的</w:t>
      </w:r>
      <w:r>
        <w:rPr>
          <w:sz w:val="24"/>
        </w:rPr>
        <w:t>关注和跨界企业</w:t>
      </w:r>
      <w:r>
        <w:rPr>
          <w:rFonts w:hint="eastAsia"/>
          <w:sz w:val="24"/>
        </w:rPr>
        <w:t>参与。</w:t>
      </w:r>
      <w:r>
        <w:rPr>
          <w:sz w:val="24"/>
        </w:rPr>
        <w:t>推动健康管理服务行业发展有两大益处，一是促进国民健康素质、节约医疗资源、控制医疗成本，缓解慢性疾病和老龄化问题;二是实现产业经济效益、带动相关健康产业发展，满足多样化和高质量健康服务需求。</w:t>
      </w:r>
      <w:r>
        <w:rPr>
          <w:sz w:val="24"/>
          <w:u w:val="single"/>
        </w:rPr>
        <w:t>总</w:t>
      </w:r>
      <w:r>
        <w:rPr>
          <w:rFonts w:hint="eastAsia"/>
          <w:sz w:val="24"/>
          <w:u w:val="single"/>
        </w:rPr>
        <w:t>之</w:t>
      </w:r>
      <w:r>
        <w:rPr>
          <w:sz w:val="24"/>
          <w:u w:val="single"/>
        </w:rPr>
        <w:t>，在大健康</w:t>
      </w:r>
      <w:r>
        <w:rPr>
          <w:rFonts w:hint="eastAsia"/>
          <w:sz w:val="24"/>
          <w:u w:val="single"/>
        </w:rPr>
        <w:t>领域</w:t>
      </w:r>
      <w:r>
        <w:rPr>
          <w:sz w:val="24"/>
          <w:u w:val="single"/>
        </w:rPr>
        <w:t>，健康管理服务产业将是</w:t>
      </w:r>
      <w:r>
        <w:rPr>
          <w:rFonts w:hint="eastAsia"/>
          <w:sz w:val="24"/>
          <w:u w:val="single"/>
        </w:rPr>
        <w:t>未来</w:t>
      </w:r>
      <w:r>
        <w:rPr>
          <w:sz w:val="24"/>
          <w:u w:val="single"/>
        </w:rPr>
        <w:t>最主要的增量市场。</w:t>
      </w:r>
    </w:p>
    <w:p>
      <w:pPr>
        <w:spacing w:line="360" w:lineRule="auto"/>
        <w:ind w:firstLine="480" w:firstLineChars="200"/>
        <w:rPr>
          <w:sz w:val="24"/>
        </w:rPr>
      </w:pPr>
      <w:r>
        <w:rPr>
          <w:sz w:val="24"/>
        </w:rPr>
        <w:t>随着我国医药卫生事业的发展及民众健康意识的不断提升，人口老龄化和城镇化进程加快，城市工作压力大、生活节奏快、饮食结构改变等原因，亚健康人群和慢病人群不断增长，社会对健康服务与管理人才的需求正在增加。本专业学生主要通过学习</w:t>
      </w:r>
      <w:r>
        <w:rPr>
          <w:rFonts w:hint="eastAsia"/>
          <w:sz w:val="24"/>
        </w:rPr>
        <w:t>中医学、</w:t>
      </w:r>
      <w:r>
        <w:rPr>
          <w:sz w:val="24"/>
        </w:rPr>
        <w:t>基础医学、临床医学和预防医学相关知识，接受疾病控制和健康相关行为干预等方面的技术训练，具备开展健康教育、健康指导、卫生保健、卫生信息管理、医疗监督、疾病的预防控制等方面工作的能力。充沛的市场需求、多样化的专业健康服务需要及巨大的专业人才缺口呼吁全方位的健康服务体系建设及多层次专业化健康服务人才培养，这些都为健康服务与管理专业毕业生就业拓宽了道路、提供了机遇</w:t>
      </w:r>
      <w:r>
        <w:rPr>
          <w:rFonts w:hint="eastAsia"/>
          <w:sz w:val="24"/>
        </w:rPr>
        <w:t>。</w:t>
      </w:r>
    </w:p>
    <w:p>
      <w:pPr>
        <w:spacing w:line="360" w:lineRule="auto"/>
        <w:ind w:firstLine="480" w:firstLineChars="200"/>
        <w:rPr>
          <w:sz w:val="24"/>
        </w:rPr>
      </w:pPr>
      <w:r>
        <w:rPr>
          <w:rFonts w:hint="eastAsia"/>
          <w:sz w:val="24"/>
        </w:rPr>
        <w:t>因此，</w:t>
      </w:r>
      <w:r>
        <w:rPr>
          <w:sz w:val="24"/>
        </w:rPr>
        <w:t>广州</w:t>
      </w:r>
      <w:r>
        <w:rPr>
          <w:rFonts w:hint="eastAsia"/>
          <w:sz w:val="24"/>
        </w:rPr>
        <w:t>南方学院</w:t>
      </w:r>
      <w:r>
        <w:rPr>
          <w:sz w:val="24"/>
        </w:rPr>
        <w:t>开设“健康服务与管理”专业</w:t>
      </w:r>
      <w:r>
        <w:rPr>
          <w:rFonts w:hint="eastAsia"/>
          <w:sz w:val="24"/>
        </w:rPr>
        <w:t>，将</w:t>
      </w:r>
      <w:r>
        <w:rPr>
          <w:sz w:val="24"/>
        </w:rPr>
        <w:t>能填补</w:t>
      </w:r>
      <w:r>
        <w:rPr>
          <w:rFonts w:hint="eastAsia"/>
          <w:sz w:val="24"/>
        </w:rPr>
        <w:t>广东</w:t>
      </w:r>
      <w:r>
        <w:rPr>
          <w:sz w:val="24"/>
        </w:rPr>
        <w:t>省内</w:t>
      </w:r>
      <w:r>
        <w:rPr>
          <w:rFonts w:hint="eastAsia"/>
          <w:sz w:val="24"/>
        </w:rPr>
        <w:t>本</w:t>
      </w:r>
      <w:r>
        <w:rPr>
          <w:sz w:val="24"/>
        </w:rPr>
        <w:t>专业人才</w:t>
      </w:r>
      <w:r>
        <w:rPr>
          <w:rFonts w:hint="eastAsia"/>
          <w:sz w:val="24"/>
        </w:rPr>
        <w:t>的需求缺口</w:t>
      </w:r>
      <w:r>
        <w:rPr>
          <w:sz w:val="24"/>
        </w:rPr>
        <w:t>，有利于专业布点的总体平衡。</w:t>
      </w:r>
    </w:p>
    <w:p>
      <w:pPr>
        <w:spacing w:line="360" w:lineRule="auto"/>
        <w:ind w:firstLine="480" w:firstLineChars="200"/>
        <w:rPr>
          <w:sz w:val="24"/>
        </w:rPr>
      </w:pPr>
    </w:p>
    <w:sectPr>
      <w:pgSz w:w="11910" w:h="16840"/>
      <w:pgMar w:top="1220" w:right="900" w:bottom="280" w:left="12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D7BEC"/>
    <w:rsid w:val="000337F4"/>
    <w:rsid w:val="000343D7"/>
    <w:rsid w:val="000463EC"/>
    <w:rsid w:val="00047248"/>
    <w:rsid w:val="00070625"/>
    <w:rsid w:val="000825F8"/>
    <w:rsid w:val="000A2E47"/>
    <w:rsid w:val="000D69AF"/>
    <w:rsid w:val="000D7232"/>
    <w:rsid w:val="00124035"/>
    <w:rsid w:val="00152B87"/>
    <w:rsid w:val="00191652"/>
    <w:rsid w:val="001A3A21"/>
    <w:rsid w:val="001B58C4"/>
    <w:rsid w:val="001E3EBC"/>
    <w:rsid w:val="001F4B15"/>
    <w:rsid w:val="00214F91"/>
    <w:rsid w:val="002241C6"/>
    <w:rsid w:val="0024490E"/>
    <w:rsid w:val="002940A6"/>
    <w:rsid w:val="002B33BE"/>
    <w:rsid w:val="002C1329"/>
    <w:rsid w:val="002D7467"/>
    <w:rsid w:val="002E19CF"/>
    <w:rsid w:val="002E40D3"/>
    <w:rsid w:val="00315379"/>
    <w:rsid w:val="00323B9F"/>
    <w:rsid w:val="003323B6"/>
    <w:rsid w:val="00351B8F"/>
    <w:rsid w:val="003751FA"/>
    <w:rsid w:val="00396ED5"/>
    <w:rsid w:val="00397478"/>
    <w:rsid w:val="003A7B4D"/>
    <w:rsid w:val="003B6BFE"/>
    <w:rsid w:val="003B7C30"/>
    <w:rsid w:val="003C585A"/>
    <w:rsid w:val="003C5A4C"/>
    <w:rsid w:val="00406E23"/>
    <w:rsid w:val="0041369C"/>
    <w:rsid w:val="004422A3"/>
    <w:rsid w:val="00454D3C"/>
    <w:rsid w:val="004656BC"/>
    <w:rsid w:val="004778A2"/>
    <w:rsid w:val="00487A2E"/>
    <w:rsid w:val="004B6C07"/>
    <w:rsid w:val="004D1031"/>
    <w:rsid w:val="004E6056"/>
    <w:rsid w:val="005139F7"/>
    <w:rsid w:val="00550431"/>
    <w:rsid w:val="005564FD"/>
    <w:rsid w:val="00595365"/>
    <w:rsid w:val="005E238B"/>
    <w:rsid w:val="006040CB"/>
    <w:rsid w:val="00604302"/>
    <w:rsid w:val="00607272"/>
    <w:rsid w:val="006349B2"/>
    <w:rsid w:val="00641979"/>
    <w:rsid w:val="00672786"/>
    <w:rsid w:val="00672BAF"/>
    <w:rsid w:val="00681958"/>
    <w:rsid w:val="00683114"/>
    <w:rsid w:val="0071732F"/>
    <w:rsid w:val="007252E9"/>
    <w:rsid w:val="00732446"/>
    <w:rsid w:val="00746B35"/>
    <w:rsid w:val="00757EA1"/>
    <w:rsid w:val="00766AD3"/>
    <w:rsid w:val="00766BA8"/>
    <w:rsid w:val="00782832"/>
    <w:rsid w:val="007904A7"/>
    <w:rsid w:val="00791777"/>
    <w:rsid w:val="007C54B4"/>
    <w:rsid w:val="007E156B"/>
    <w:rsid w:val="008009F3"/>
    <w:rsid w:val="00810228"/>
    <w:rsid w:val="00823EAF"/>
    <w:rsid w:val="008305C4"/>
    <w:rsid w:val="00836563"/>
    <w:rsid w:val="00846C43"/>
    <w:rsid w:val="008C67E7"/>
    <w:rsid w:val="008D720F"/>
    <w:rsid w:val="008F3FCC"/>
    <w:rsid w:val="00900450"/>
    <w:rsid w:val="0091246E"/>
    <w:rsid w:val="00917066"/>
    <w:rsid w:val="00940902"/>
    <w:rsid w:val="00944D9A"/>
    <w:rsid w:val="009638E3"/>
    <w:rsid w:val="009A2990"/>
    <w:rsid w:val="009B6809"/>
    <w:rsid w:val="009C16F6"/>
    <w:rsid w:val="009E12D7"/>
    <w:rsid w:val="00A00A41"/>
    <w:rsid w:val="00A170DC"/>
    <w:rsid w:val="00A17BE9"/>
    <w:rsid w:val="00A25391"/>
    <w:rsid w:val="00A73CDF"/>
    <w:rsid w:val="00A91364"/>
    <w:rsid w:val="00AD0CE4"/>
    <w:rsid w:val="00AE0519"/>
    <w:rsid w:val="00AE4C75"/>
    <w:rsid w:val="00AF38F5"/>
    <w:rsid w:val="00AF4C70"/>
    <w:rsid w:val="00B13F6D"/>
    <w:rsid w:val="00B44F2A"/>
    <w:rsid w:val="00B465D7"/>
    <w:rsid w:val="00B602C1"/>
    <w:rsid w:val="00B82826"/>
    <w:rsid w:val="00B868D5"/>
    <w:rsid w:val="00B9534F"/>
    <w:rsid w:val="00C0527C"/>
    <w:rsid w:val="00C067FE"/>
    <w:rsid w:val="00C33631"/>
    <w:rsid w:val="00C42929"/>
    <w:rsid w:val="00C57A3D"/>
    <w:rsid w:val="00C62DEB"/>
    <w:rsid w:val="00C83EA3"/>
    <w:rsid w:val="00CD65DF"/>
    <w:rsid w:val="00D10236"/>
    <w:rsid w:val="00D274FF"/>
    <w:rsid w:val="00D32BE3"/>
    <w:rsid w:val="00D471B6"/>
    <w:rsid w:val="00D64040"/>
    <w:rsid w:val="00D81279"/>
    <w:rsid w:val="00D85F93"/>
    <w:rsid w:val="00DA21F7"/>
    <w:rsid w:val="00DA4DCD"/>
    <w:rsid w:val="00DD1C47"/>
    <w:rsid w:val="00E26EC8"/>
    <w:rsid w:val="00E5517D"/>
    <w:rsid w:val="00E93BFC"/>
    <w:rsid w:val="00EA7352"/>
    <w:rsid w:val="00EB432E"/>
    <w:rsid w:val="00ED7BEC"/>
    <w:rsid w:val="00EE0D0F"/>
    <w:rsid w:val="00EE1B85"/>
    <w:rsid w:val="00EE5B45"/>
    <w:rsid w:val="00EF178E"/>
    <w:rsid w:val="00EF42FC"/>
    <w:rsid w:val="00F63359"/>
    <w:rsid w:val="00F63B9F"/>
    <w:rsid w:val="00F65185"/>
    <w:rsid w:val="00F67C37"/>
    <w:rsid w:val="00F72CCF"/>
    <w:rsid w:val="00F74792"/>
    <w:rsid w:val="00F93076"/>
    <w:rsid w:val="00FA1BDA"/>
    <w:rsid w:val="00FB233C"/>
    <w:rsid w:val="00FE10DA"/>
    <w:rsid w:val="00FF595E"/>
    <w:rsid w:val="00FF70BF"/>
    <w:rsid w:val="5E7B6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qFormat="1" w:unhideWhenUsed="0" w:uiPriority="0"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44"/>
    <w:qFormat/>
    <w:uiPriority w:val="0"/>
    <w:pPr>
      <w:jc w:val="left"/>
    </w:pPr>
  </w:style>
  <w:style w:type="paragraph" w:styleId="3">
    <w:name w:val="Body Text"/>
    <w:basedOn w:val="1"/>
    <w:link w:val="23"/>
    <w:qFormat/>
    <w:uiPriority w:val="0"/>
    <w:pPr>
      <w:autoSpaceDE w:val="0"/>
      <w:autoSpaceDN w:val="0"/>
      <w:adjustRightInd w:val="0"/>
      <w:ind w:left="1618"/>
      <w:jc w:val="left"/>
    </w:pPr>
    <w:rPr>
      <w:rFonts w:ascii="黑体" w:eastAsia="黑体" w:cs="黑体"/>
      <w:kern w:val="0"/>
      <w:sz w:val="36"/>
      <w:szCs w:val="36"/>
    </w:rPr>
  </w:style>
  <w:style w:type="paragraph" w:styleId="4">
    <w:name w:val="Plain Text"/>
    <w:basedOn w:val="1"/>
    <w:link w:val="28"/>
    <w:qFormat/>
    <w:uiPriority w:val="0"/>
    <w:rPr>
      <w:rFonts w:ascii="宋体" w:hAnsi="Courier New" w:cs="Courier New"/>
      <w:bCs/>
      <w:szCs w:val="22"/>
    </w:rPr>
  </w:style>
  <w:style w:type="paragraph" w:styleId="5">
    <w:name w:val="Date"/>
    <w:basedOn w:val="1"/>
    <w:next w:val="1"/>
    <w:link w:val="22"/>
    <w:semiHidden/>
    <w:unhideWhenUsed/>
    <w:qFormat/>
    <w:uiPriority w:val="99"/>
    <w:pPr>
      <w:ind w:left="100" w:leftChars="2500"/>
    </w:pPr>
  </w:style>
  <w:style w:type="paragraph" w:styleId="6">
    <w:name w:val="Balloon Text"/>
    <w:basedOn w:val="1"/>
    <w:link w:val="37"/>
    <w:qFormat/>
    <w:uiPriority w:val="0"/>
    <w:rPr>
      <w:rFonts w:asciiTheme="minorHAnsi" w:hAnsiTheme="minorHAnsi" w:eastAsiaTheme="minorEastAsia" w:cstheme="minorBidi"/>
      <w:sz w:val="18"/>
      <w:szCs w:val="18"/>
    </w:rPr>
  </w:style>
  <w:style w:type="paragraph" w:styleId="7">
    <w:name w:val="footer"/>
    <w:basedOn w:val="1"/>
    <w:link w:val="27"/>
    <w:unhideWhenUsed/>
    <w:qFormat/>
    <w:uiPriority w:val="99"/>
    <w:pPr>
      <w:tabs>
        <w:tab w:val="center" w:pos="4153"/>
        <w:tab w:val="right" w:pos="8306"/>
      </w:tabs>
      <w:autoSpaceDE w:val="0"/>
      <w:autoSpaceDN w:val="0"/>
      <w:adjustRightInd w:val="0"/>
      <w:snapToGrid w:val="0"/>
      <w:jc w:val="left"/>
    </w:pPr>
    <w:rPr>
      <w:rFonts w:eastAsiaTheme="minorEastAsia"/>
      <w:kern w:val="0"/>
      <w:sz w:val="18"/>
      <w:szCs w:val="18"/>
    </w:rPr>
  </w:style>
  <w:style w:type="paragraph" w:styleId="8">
    <w:name w:val="header"/>
    <w:basedOn w:val="1"/>
    <w:link w:val="26"/>
    <w:unhideWhenUsed/>
    <w:qFormat/>
    <w:uiPriority w:val="99"/>
    <w:pPr>
      <w:pBdr>
        <w:bottom w:val="single" w:color="auto" w:sz="6" w:space="1"/>
      </w:pBdr>
      <w:tabs>
        <w:tab w:val="center" w:pos="4153"/>
        <w:tab w:val="right" w:pos="8306"/>
      </w:tabs>
      <w:autoSpaceDE w:val="0"/>
      <w:autoSpaceDN w:val="0"/>
      <w:adjustRightInd w:val="0"/>
      <w:snapToGrid w:val="0"/>
      <w:jc w:val="center"/>
    </w:pPr>
    <w:rPr>
      <w:rFonts w:eastAsiaTheme="minorEastAsia"/>
      <w:kern w:val="0"/>
      <w:sz w:val="18"/>
      <w:szCs w:val="18"/>
    </w:rPr>
  </w:style>
  <w:style w:type="paragraph" w:styleId="9">
    <w:name w:val="footnote text"/>
    <w:basedOn w:val="1"/>
    <w:link w:val="31"/>
    <w:qFormat/>
    <w:uiPriority w:val="0"/>
    <w:pPr>
      <w:snapToGrid w:val="0"/>
      <w:jc w:val="left"/>
    </w:pPr>
    <w:rPr>
      <w:rFonts w:ascii="Calibri" w:hAnsi="Calibri" w:eastAsia="微软雅黑"/>
      <w:sz w:val="18"/>
      <w:szCs w:val="18"/>
    </w:rPr>
  </w:style>
  <w:style w:type="paragraph" w:styleId="10">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11">
    <w:name w:val="annotation subject"/>
    <w:basedOn w:val="2"/>
    <w:next w:val="2"/>
    <w:link w:val="40"/>
    <w:qFormat/>
    <w:uiPriority w:val="0"/>
    <w:rPr>
      <w:rFonts w:asciiTheme="minorHAnsi" w:hAnsiTheme="minorHAnsi" w:eastAsiaTheme="minorEastAsia" w:cstheme="minorBidi"/>
      <w:b/>
      <w:bCs/>
    </w:rPr>
  </w:style>
  <w:style w:type="table" w:styleId="13">
    <w:name w:val="Table Grid"/>
    <w:basedOn w:val="12"/>
    <w:qFormat/>
    <w:uiPriority w:val="59"/>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rFonts w:cs="Times New Roman"/>
      <w:b/>
      <w:sz w:val="24"/>
      <w:szCs w:val="24"/>
    </w:rPr>
  </w:style>
  <w:style w:type="character" w:styleId="16">
    <w:name w:val="FollowedHyperlink"/>
    <w:qFormat/>
    <w:uiPriority w:val="0"/>
    <w:rPr>
      <w:color w:val="741274"/>
      <w:u w:val="single"/>
    </w:rPr>
  </w:style>
  <w:style w:type="character" w:styleId="17">
    <w:name w:val="Emphasis"/>
    <w:qFormat/>
    <w:uiPriority w:val="0"/>
    <w:rPr>
      <w:color w:val="CC0000"/>
    </w:rPr>
  </w:style>
  <w:style w:type="character" w:styleId="18">
    <w:name w:val="Hyperlink"/>
    <w:unhideWhenUsed/>
    <w:qFormat/>
    <w:uiPriority w:val="0"/>
    <w:rPr>
      <w:color w:val="0000FF"/>
      <w:u w:val="single"/>
    </w:rPr>
  </w:style>
  <w:style w:type="character" w:styleId="19">
    <w:name w:val="annotation reference"/>
    <w:uiPriority w:val="0"/>
    <w:rPr>
      <w:sz w:val="21"/>
      <w:szCs w:val="21"/>
    </w:rPr>
  </w:style>
  <w:style w:type="character" w:styleId="20">
    <w:name w:val="HTML Cite"/>
    <w:qFormat/>
    <w:uiPriority w:val="0"/>
    <w:rPr>
      <w:color w:val="008000"/>
    </w:rPr>
  </w:style>
  <w:style w:type="character" w:styleId="21">
    <w:name w:val="footnote reference"/>
    <w:qFormat/>
    <w:uiPriority w:val="0"/>
    <w:rPr>
      <w:vertAlign w:val="superscript"/>
    </w:rPr>
  </w:style>
  <w:style w:type="character" w:customStyle="1" w:styleId="22">
    <w:name w:val="日期 字符"/>
    <w:basedOn w:val="14"/>
    <w:link w:val="5"/>
    <w:semiHidden/>
    <w:qFormat/>
    <w:uiPriority w:val="99"/>
    <w:rPr>
      <w:rFonts w:ascii="Times New Roman" w:hAnsi="Times New Roman" w:eastAsia="宋体" w:cs="Times New Roman"/>
      <w:szCs w:val="24"/>
    </w:rPr>
  </w:style>
  <w:style w:type="character" w:customStyle="1" w:styleId="23">
    <w:name w:val="正文文本 字符"/>
    <w:basedOn w:val="14"/>
    <w:link w:val="3"/>
    <w:uiPriority w:val="0"/>
    <w:rPr>
      <w:rFonts w:ascii="黑体" w:hAnsi="Times New Roman" w:eastAsia="黑体" w:cs="黑体"/>
      <w:kern w:val="0"/>
      <w:sz w:val="36"/>
      <w:szCs w:val="36"/>
    </w:rPr>
  </w:style>
  <w:style w:type="paragraph" w:styleId="24">
    <w:name w:val="List Paragraph"/>
    <w:basedOn w:val="1"/>
    <w:qFormat/>
    <w:uiPriority w:val="34"/>
    <w:pPr>
      <w:autoSpaceDE w:val="0"/>
      <w:autoSpaceDN w:val="0"/>
      <w:adjustRightInd w:val="0"/>
      <w:jc w:val="left"/>
    </w:pPr>
    <w:rPr>
      <w:rFonts w:eastAsiaTheme="minorEastAsia"/>
      <w:kern w:val="0"/>
      <w:sz w:val="24"/>
    </w:rPr>
  </w:style>
  <w:style w:type="paragraph" w:customStyle="1" w:styleId="25">
    <w:name w:val="Table Paragraph"/>
    <w:basedOn w:val="1"/>
    <w:qFormat/>
    <w:uiPriority w:val="1"/>
    <w:pPr>
      <w:autoSpaceDE w:val="0"/>
      <w:autoSpaceDN w:val="0"/>
      <w:adjustRightInd w:val="0"/>
      <w:jc w:val="left"/>
    </w:pPr>
    <w:rPr>
      <w:rFonts w:eastAsiaTheme="minorEastAsia"/>
      <w:kern w:val="0"/>
      <w:sz w:val="24"/>
    </w:rPr>
  </w:style>
  <w:style w:type="character" w:customStyle="1" w:styleId="26">
    <w:name w:val="页眉 字符"/>
    <w:basedOn w:val="14"/>
    <w:link w:val="8"/>
    <w:qFormat/>
    <w:uiPriority w:val="99"/>
    <w:rPr>
      <w:rFonts w:ascii="Times New Roman" w:hAnsi="Times New Roman" w:cs="Times New Roman"/>
      <w:kern w:val="0"/>
      <w:sz w:val="18"/>
      <w:szCs w:val="18"/>
    </w:rPr>
  </w:style>
  <w:style w:type="character" w:customStyle="1" w:styleId="27">
    <w:name w:val="页脚 字符"/>
    <w:basedOn w:val="14"/>
    <w:link w:val="7"/>
    <w:qFormat/>
    <w:uiPriority w:val="99"/>
    <w:rPr>
      <w:rFonts w:ascii="Times New Roman" w:hAnsi="Times New Roman" w:cs="Times New Roman"/>
      <w:kern w:val="0"/>
      <w:sz w:val="18"/>
      <w:szCs w:val="18"/>
    </w:rPr>
  </w:style>
  <w:style w:type="character" w:customStyle="1" w:styleId="28">
    <w:name w:val="纯文本 字符"/>
    <w:link w:val="4"/>
    <w:qFormat/>
    <w:uiPriority w:val="0"/>
    <w:rPr>
      <w:rFonts w:ascii="宋体" w:hAnsi="Courier New" w:eastAsia="宋体" w:cs="Courier New"/>
      <w:bCs/>
    </w:rPr>
  </w:style>
  <w:style w:type="character" w:customStyle="1" w:styleId="29">
    <w:name w:val="纯文本 字符1"/>
    <w:basedOn w:val="14"/>
    <w:semiHidden/>
    <w:qFormat/>
    <w:uiPriority w:val="99"/>
    <w:rPr>
      <w:rFonts w:hAnsi="Courier New" w:cs="Courier New" w:asciiTheme="minorEastAsia"/>
      <w:szCs w:val="24"/>
    </w:rPr>
  </w:style>
  <w:style w:type="paragraph" w:customStyle="1" w:styleId="30">
    <w:name w:val="f2"/>
    <w:basedOn w:val="1"/>
    <w:qFormat/>
    <w:uiPriority w:val="0"/>
    <w:pPr>
      <w:widowControl/>
      <w:spacing w:before="100" w:beforeAutospacing="1" w:after="100" w:afterAutospacing="1"/>
      <w:jc w:val="left"/>
    </w:pPr>
    <w:rPr>
      <w:rFonts w:ascii="宋体" w:hAnsi="宋体" w:cs="宋体"/>
      <w:kern w:val="0"/>
      <w:sz w:val="24"/>
    </w:rPr>
  </w:style>
  <w:style w:type="character" w:customStyle="1" w:styleId="31">
    <w:name w:val="脚注文本 字符"/>
    <w:basedOn w:val="14"/>
    <w:link w:val="9"/>
    <w:qFormat/>
    <w:uiPriority w:val="0"/>
    <w:rPr>
      <w:rFonts w:ascii="Calibri" w:hAnsi="Calibri" w:eastAsia="微软雅黑" w:cs="Times New Roman"/>
      <w:sz w:val="18"/>
      <w:szCs w:val="18"/>
    </w:rPr>
  </w:style>
  <w:style w:type="character" w:customStyle="1" w:styleId="32">
    <w:name w:val="font41"/>
    <w:qFormat/>
    <w:uiPriority w:val="0"/>
    <w:rPr>
      <w:rFonts w:hint="default" w:ascii="Times New Roman" w:hAnsi="Times New Roman" w:cs="Times New Roman"/>
      <w:b/>
      <w:color w:val="000000"/>
      <w:sz w:val="22"/>
      <w:szCs w:val="22"/>
      <w:u w:val="none"/>
    </w:rPr>
  </w:style>
  <w:style w:type="character" w:customStyle="1" w:styleId="33">
    <w:name w:val="font21"/>
    <w:qFormat/>
    <w:uiPriority w:val="0"/>
    <w:rPr>
      <w:rFonts w:hint="eastAsia" w:ascii="宋体" w:hAnsi="宋体" w:eastAsia="宋体" w:cs="宋体"/>
      <w:b/>
      <w:color w:val="000000"/>
      <w:sz w:val="22"/>
      <w:szCs w:val="22"/>
      <w:u w:val="none"/>
    </w:rPr>
  </w:style>
  <w:style w:type="character" w:customStyle="1" w:styleId="34">
    <w:name w:val="font31"/>
    <w:qFormat/>
    <w:uiPriority w:val="0"/>
    <w:rPr>
      <w:rFonts w:ascii="楷体" w:hAnsi="楷体" w:eastAsia="楷体" w:cs="楷体"/>
      <w:b/>
      <w:color w:val="000000"/>
      <w:sz w:val="22"/>
      <w:szCs w:val="22"/>
      <w:u w:val="none"/>
    </w:rPr>
  </w:style>
  <w:style w:type="character" w:customStyle="1" w:styleId="35">
    <w:name w:val="font11"/>
    <w:qFormat/>
    <w:uiPriority w:val="0"/>
    <w:rPr>
      <w:rFonts w:hint="eastAsia" w:ascii="楷体" w:hAnsi="楷体" w:eastAsia="楷体" w:cs="楷体"/>
      <w:color w:val="000000"/>
      <w:sz w:val="21"/>
      <w:szCs w:val="21"/>
      <w:u w:val="none"/>
    </w:rPr>
  </w:style>
  <w:style w:type="paragraph" w:customStyle="1" w:styleId="36">
    <w:name w:val="Char Char Char Char"/>
    <w:basedOn w:val="1"/>
    <w:qFormat/>
    <w:uiPriority w:val="0"/>
    <w:pPr>
      <w:adjustRightInd w:val="0"/>
      <w:spacing w:line="360" w:lineRule="atLeast"/>
      <w:textAlignment w:val="baseline"/>
    </w:pPr>
  </w:style>
  <w:style w:type="character" w:customStyle="1" w:styleId="37">
    <w:name w:val="批注框文本 字符"/>
    <w:link w:val="6"/>
    <w:qFormat/>
    <w:uiPriority w:val="0"/>
    <w:rPr>
      <w:sz w:val="18"/>
      <w:szCs w:val="18"/>
    </w:rPr>
  </w:style>
  <w:style w:type="character" w:customStyle="1" w:styleId="38">
    <w:name w:val="批注文字 字符"/>
    <w:qFormat/>
    <w:uiPriority w:val="0"/>
    <w:rPr>
      <w:kern w:val="2"/>
      <w:sz w:val="21"/>
      <w:szCs w:val="24"/>
    </w:rPr>
  </w:style>
  <w:style w:type="character" w:customStyle="1" w:styleId="39">
    <w:name w:val="Char Char1"/>
    <w:qFormat/>
    <w:uiPriority w:val="0"/>
    <w:rPr>
      <w:rFonts w:hint="default" w:ascii="Calibri" w:hAnsi="Calibri" w:eastAsia="微软雅黑" w:cs="Times New Roman"/>
      <w:kern w:val="2"/>
      <w:sz w:val="18"/>
      <w:szCs w:val="18"/>
    </w:rPr>
  </w:style>
  <w:style w:type="character" w:customStyle="1" w:styleId="40">
    <w:name w:val="批注主题 字符"/>
    <w:link w:val="11"/>
    <w:qFormat/>
    <w:uiPriority w:val="0"/>
    <w:rPr>
      <w:b/>
      <w:bCs/>
      <w:szCs w:val="24"/>
    </w:rPr>
  </w:style>
  <w:style w:type="character" w:customStyle="1" w:styleId="41">
    <w:name w:val="sugg-loading"/>
    <w:qFormat/>
    <w:uiPriority w:val="0"/>
  </w:style>
  <w:style w:type="character" w:customStyle="1" w:styleId="42">
    <w:name w:val="page-cur"/>
    <w:qFormat/>
    <w:uiPriority w:val="0"/>
    <w:rPr>
      <w:b/>
      <w:color w:val="333333"/>
      <w:bdr w:val="single" w:color="E5E5E5" w:sz="6" w:space="0"/>
      <w:shd w:val="clear" w:color="auto" w:fill="F2F2F2"/>
    </w:rPr>
  </w:style>
  <w:style w:type="character" w:customStyle="1" w:styleId="43">
    <w:name w:val="批注框文本 字符1"/>
    <w:basedOn w:val="14"/>
    <w:qFormat/>
    <w:uiPriority w:val="0"/>
    <w:rPr>
      <w:rFonts w:ascii="Times New Roman" w:hAnsi="Times New Roman" w:eastAsia="宋体" w:cs="Times New Roman"/>
      <w:sz w:val="18"/>
      <w:szCs w:val="18"/>
    </w:rPr>
  </w:style>
  <w:style w:type="character" w:customStyle="1" w:styleId="44">
    <w:name w:val="批注文字 字符1"/>
    <w:basedOn w:val="14"/>
    <w:link w:val="2"/>
    <w:qFormat/>
    <w:uiPriority w:val="0"/>
    <w:rPr>
      <w:rFonts w:ascii="Times New Roman" w:hAnsi="Times New Roman" w:eastAsia="宋体" w:cs="Times New Roman"/>
      <w:szCs w:val="24"/>
    </w:rPr>
  </w:style>
  <w:style w:type="character" w:customStyle="1" w:styleId="45">
    <w:name w:val="批注主题 字符1"/>
    <w:basedOn w:val="44"/>
    <w:qFormat/>
    <w:uiPriority w:val="0"/>
    <w:rPr>
      <w:rFonts w:ascii="Times New Roman" w:hAnsi="Times New Roman" w:eastAsia="宋体" w:cs="Times New Roman"/>
      <w:b/>
      <w:bCs/>
      <w:szCs w:val="24"/>
    </w:rPr>
  </w:style>
  <w:style w:type="paragraph" w:customStyle="1" w:styleId="46">
    <w:name w:val="正文1"/>
    <w:basedOn w:val="1"/>
    <w:qFormat/>
    <w:uiPriority w:val="0"/>
    <w:pPr>
      <w:widowControl/>
    </w:pPr>
    <w:rPr>
      <w:szCs w:val="21"/>
    </w:rPr>
  </w:style>
  <w:style w:type="paragraph" w:customStyle="1" w:styleId="4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8">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49">
    <w:name w:val="Revision"/>
    <w:unhideWhenUsed/>
    <w:qFormat/>
    <w:uiPriority w:val="99"/>
    <w:rPr>
      <w:rFonts w:ascii="Times New Roman" w:hAnsi="Times New Roman" w:eastAsia="宋体" w:cs="Times New Roman"/>
      <w:kern w:val="2"/>
      <w:sz w:val="21"/>
      <w:szCs w:val="24"/>
      <w:lang w:val="en-US" w:eastAsia="zh-CN" w:bidi="ar-SA"/>
    </w:rPr>
  </w:style>
  <w:style w:type="table" w:customStyle="1" w:styleId="50">
    <w:name w:val="网格型1"/>
    <w:basedOn w:val="12"/>
    <w:qFormat/>
    <w:uiPriority w:val="59"/>
    <w:rPr>
      <w:kern w:val="0"/>
      <w:sz w:val="20"/>
      <w:szCs w:val="20"/>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A73C03-05ED-444F-8302-27038C711CF7}">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1774</Words>
  <Characters>10114</Characters>
  <Lines>84</Lines>
  <Paragraphs>23</Paragraphs>
  <TotalTime>94</TotalTime>
  <ScaleCrop>false</ScaleCrop>
  <LinksUpToDate>false</LinksUpToDate>
  <CharactersWithSpaces>11865</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2021-06-17T12:17:00Z</dcterms:created>
  <dc:creator>pei ying</dc:creator>
  <cp:lastModifiedBy>春晓</cp:lastModifiedBy>
  <dcterms:modified xsi:type="dcterms:W3CDTF">2021-07-27T05:57:26Z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59D3C7A19C1D4C25AB43957250E02D8E</vt:lpwstr>
  </property>
</Properties>
</file>