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468" w:afterLines="150" w:line="360" w:lineRule="auto"/>
        <w:jc w:val="center"/>
        <w:rPr>
          <w:rFonts w:ascii="微软雅黑" w:hAnsi="微软雅黑" w:eastAsia="微软雅黑"/>
          <w:sz w:val="36"/>
          <w:szCs w:val="36"/>
        </w:rPr>
      </w:pPr>
      <w:r>
        <w:rPr>
          <w:rFonts w:hint="eastAsia" w:ascii="微软雅黑" w:hAnsi="微软雅黑" w:eastAsia="微软雅黑"/>
          <w:sz w:val="36"/>
          <w:szCs w:val="36"/>
        </w:rPr>
        <w:t>《健康服务与管理专业》建设规划</w:t>
      </w:r>
    </w:p>
    <w:p>
      <w:pPr>
        <w:pStyle w:val="13"/>
        <w:numPr>
          <w:ilvl w:val="0"/>
          <w:numId w:val="1"/>
        </w:numPr>
        <w:spacing w:before="312" w:beforeLines="100" w:line="360" w:lineRule="auto"/>
        <w:ind w:firstLineChars="0"/>
        <w:rPr>
          <w:rFonts w:ascii="微软雅黑" w:hAnsi="微软雅黑" w:eastAsia="微软雅黑"/>
          <w:b/>
          <w:bCs/>
          <w:sz w:val="28"/>
          <w:szCs w:val="28"/>
        </w:rPr>
      </w:pPr>
      <w:r>
        <w:rPr>
          <w:rFonts w:hint="eastAsia" w:ascii="微软雅黑" w:hAnsi="微软雅黑" w:eastAsia="微软雅黑"/>
          <w:b/>
          <w:bCs/>
          <w:sz w:val="28"/>
          <w:szCs w:val="28"/>
        </w:rPr>
        <w:t>专业建设基础</w:t>
      </w:r>
    </w:p>
    <w:p>
      <w:pPr>
        <w:numPr>
          <w:ilvl w:val="0"/>
          <w:numId w:val="2"/>
        </w:numPr>
        <w:autoSpaceDE w:val="0"/>
        <w:autoSpaceDN w:val="0"/>
        <w:spacing w:before="156" w:beforeLines="50" w:after="156" w:afterLines="50" w:line="400" w:lineRule="exact"/>
        <w:ind w:left="1123" w:right="525" w:rightChars="250"/>
        <w:rPr>
          <w:rFonts w:ascii="仿宋" w:hAnsi="仿宋" w:eastAsia="仿宋"/>
          <w:b/>
          <w:bCs/>
          <w:sz w:val="24"/>
          <w:szCs w:val="24"/>
        </w:rPr>
      </w:pPr>
      <w:r>
        <w:rPr>
          <w:rFonts w:hint="eastAsia" w:ascii="仿宋" w:hAnsi="仿宋" w:eastAsia="仿宋"/>
          <w:b/>
          <w:bCs/>
          <w:sz w:val="24"/>
          <w:szCs w:val="24"/>
        </w:rPr>
        <w:t>学校定位</w:t>
      </w:r>
    </w:p>
    <w:p>
      <w:pPr>
        <w:spacing w:line="400" w:lineRule="exact"/>
        <w:ind w:left="210" w:leftChars="100" w:right="525" w:rightChars="250" w:firstLine="420" w:firstLineChars="200"/>
        <w:rPr>
          <w:rFonts w:ascii="宋体" w:hAnsi="宋体" w:eastAsia="宋体"/>
        </w:rPr>
      </w:pPr>
      <w:r>
        <w:rPr>
          <w:rFonts w:hint="eastAsia" w:ascii="宋体" w:hAnsi="宋体" w:eastAsia="宋体"/>
        </w:rPr>
        <w:t>广州南方学院（原中山大学南方学院）是2006年经教育部批准，由中山大学与广东珠江投资股份有限公司合作创办的独立学院，是一所多学科全日制应用型本科高等学校，2016年被遴选为广东省普通本科转型试点高校。学校现有本科生19162人，继续教育在校生2306人，设有10个院系42个招生本科专业，形成了以管理学、文学、工学为主，经济学、医学、艺术学协调发展、结构合理、优势互补的学科体系。2020年，在“艾瑞深中国校友会网”独立学院一流专业排名中，学校会计学、电子商务、计算机科学与技术等12个专业被评为中国顶尖独立学院6星级专业；网络与新媒体、医学检验技术、英语等15个专业被评为中国一流独立学院5星级专业。其中“云康医学与健康管理学院”、“护理与健康学院”中设置医学检验技术、康复医学专业、护理学专业，为中医药学院开办健康管理与服务专业提供了有力支撑。</w:t>
      </w:r>
    </w:p>
    <w:p>
      <w:pPr>
        <w:numPr>
          <w:ilvl w:val="0"/>
          <w:numId w:val="2"/>
        </w:numPr>
        <w:autoSpaceDE w:val="0"/>
        <w:autoSpaceDN w:val="0"/>
        <w:spacing w:before="156" w:beforeLines="50" w:after="156" w:afterLines="50" w:line="400" w:lineRule="exact"/>
        <w:ind w:left="1123" w:right="525" w:rightChars="250"/>
        <w:jc w:val="left"/>
        <w:rPr>
          <w:rFonts w:ascii="仿宋" w:hAnsi="仿宋" w:eastAsia="仿宋"/>
          <w:b/>
          <w:bCs/>
          <w:sz w:val="24"/>
          <w:szCs w:val="24"/>
        </w:rPr>
      </w:pPr>
      <w:r>
        <w:rPr>
          <w:rFonts w:hint="eastAsia" w:ascii="仿宋" w:hAnsi="仿宋" w:eastAsia="仿宋"/>
          <w:b/>
          <w:bCs/>
          <w:sz w:val="24"/>
          <w:szCs w:val="24"/>
        </w:rPr>
        <w:t>师资力量</w:t>
      </w:r>
    </w:p>
    <w:p>
      <w:pPr>
        <w:spacing w:line="400" w:lineRule="exact"/>
        <w:ind w:left="210" w:leftChars="100" w:right="525" w:rightChars="250" w:firstLine="420" w:firstLineChars="200"/>
        <w:rPr>
          <w:rFonts w:ascii="宋体" w:hAnsi="宋体" w:eastAsia="宋体"/>
        </w:rPr>
      </w:pPr>
      <w:r>
        <w:rPr>
          <w:rFonts w:hint="eastAsia" w:ascii="宋体" w:hAnsi="宋体" w:eastAsia="宋体"/>
        </w:rPr>
        <w:t>学校现有专任教师853人，含博士生导师17人，教育部新世纪优秀人才2人，广东省特支计划教学名师1人，省级教学名师2人，南粤优秀教师4人；具有博士学位的教师170人，占专任教师总数的19.93%；具有副高级以上职称的教师259人，占专任教师总数的30.36%；“双师双能”教师300人，占专任教师总数的35%。学校重视青年教师成长，近几年推选参加广东省中青年骨干教师访问学者项目34人，赴境外访学进修20余人，在职攻读博士学位43人。学校现有兼职教师314人，其中特聘知名学者夏书章、黄天骥、陈平原3名教授担任学术顾问，聘请巴曙松、任剑涛、王哲民等8名具有重要影响力的学者担任讲座教授，聘请近200名富有实践经验的管理者、技术精英担任业界导师。其中，与开设健康服务与管理专业相关的学院教师共有8</w:t>
      </w:r>
      <w:r>
        <w:rPr>
          <w:rFonts w:ascii="宋体" w:hAnsi="宋体" w:eastAsia="宋体"/>
        </w:rPr>
        <w:t>5</w:t>
      </w:r>
      <w:r>
        <w:rPr>
          <w:rFonts w:hint="eastAsia" w:ascii="宋体" w:hAnsi="宋体" w:eastAsia="宋体"/>
        </w:rPr>
        <w:t>人，其中副高级以上职称2</w:t>
      </w:r>
      <w:r>
        <w:rPr>
          <w:rFonts w:ascii="宋体" w:hAnsi="宋体" w:eastAsia="宋体"/>
        </w:rPr>
        <w:t>5</w:t>
      </w:r>
      <w:r>
        <w:rPr>
          <w:rFonts w:hint="eastAsia" w:ascii="宋体" w:hAnsi="宋体" w:eastAsia="宋体"/>
        </w:rPr>
        <w:t>人，占专任教师总数的</w:t>
      </w:r>
      <w:r>
        <w:rPr>
          <w:rFonts w:ascii="宋体" w:hAnsi="宋体" w:eastAsia="宋体"/>
        </w:rPr>
        <w:t>29.41</w:t>
      </w:r>
      <w:r>
        <w:rPr>
          <w:rFonts w:hint="eastAsia" w:ascii="宋体" w:hAnsi="宋体" w:eastAsia="宋体"/>
        </w:rPr>
        <w:t>%；具有博士学位教师3</w:t>
      </w:r>
      <w:r>
        <w:rPr>
          <w:rFonts w:ascii="宋体" w:hAnsi="宋体" w:eastAsia="宋体"/>
        </w:rPr>
        <w:t>2</w:t>
      </w:r>
      <w:r>
        <w:rPr>
          <w:rFonts w:hint="eastAsia" w:ascii="宋体" w:hAnsi="宋体" w:eastAsia="宋体"/>
        </w:rPr>
        <w:t>人，占专任教师总数的</w:t>
      </w:r>
      <w:r>
        <w:rPr>
          <w:rFonts w:ascii="宋体" w:hAnsi="宋体" w:eastAsia="宋体"/>
        </w:rPr>
        <w:t>37.65</w:t>
      </w:r>
      <w:r>
        <w:rPr>
          <w:rFonts w:hint="eastAsia" w:ascii="宋体" w:hAnsi="宋体" w:eastAsia="宋体"/>
        </w:rPr>
        <w:t>%。</w:t>
      </w:r>
    </w:p>
    <w:p>
      <w:pPr>
        <w:numPr>
          <w:ilvl w:val="0"/>
          <w:numId w:val="2"/>
        </w:numPr>
        <w:autoSpaceDE w:val="0"/>
        <w:autoSpaceDN w:val="0"/>
        <w:spacing w:before="156" w:beforeLines="50" w:after="156" w:afterLines="50" w:line="400" w:lineRule="exact"/>
        <w:ind w:left="1123" w:right="525" w:rightChars="250"/>
        <w:jc w:val="left"/>
        <w:rPr>
          <w:rFonts w:ascii="仿宋" w:hAnsi="仿宋" w:eastAsia="仿宋"/>
          <w:b/>
          <w:bCs/>
          <w:sz w:val="24"/>
          <w:szCs w:val="24"/>
        </w:rPr>
      </w:pPr>
      <w:r>
        <w:rPr>
          <w:rFonts w:hint="eastAsia" w:ascii="仿宋" w:hAnsi="仿宋" w:eastAsia="仿宋"/>
          <w:b/>
          <w:bCs/>
          <w:sz w:val="24"/>
          <w:szCs w:val="24"/>
        </w:rPr>
        <w:t>专业设施齐全</w:t>
      </w:r>
    </w:p>
    <w:p>
      <w:pPr>
        <w:spacing w:line="400" w:lineRule="exact"/>
        <w:ind w:left="210" w:leftChars="100" w:right="525" w:rightChars="250" w:firstLine="420" w:firstLineChars="200"/>
        <w:rPr>
          <w:rFonts w:ascii="宋体" w:hAnsi="宋体" w:eastAsia="宋体"/>
        </w:rPr>
      </w:pPr>
      <w:r>
        <w:rPr>
          <w:rFonts w:hint="eastAsia" w:ascii="宋体" w:hAnsi="宋体" w:eastAsia="宋体"/>
        </w:rPr>
        <w:t>学院目前已购置</w:t>
      </w:r>
      <w:r>
        <w:rPr>
          <w:rFonts w:ascii="宋体" w:hAnsi="宋体" w:eastAsia="宋体"/>
        </w:rPr>
        <w:t>75</w:t>
      </w:r>
      <w:r>
        <w:rPr>
          <w:rFonts w:hint="eastAsia" w:ascii="宋体" w:hAnsi="宋体" w:eastAsia="宋体"/>
        </w:rPr>
        <w:t>万元的相关仪器设备，共计</w:t>
      </w:r>
      <w:r>
        <w:rPr>
          <w:rFonts w:ascii="宋体" w:hAnsi="宋体" w:eastAsia="宋体"/>
        </w:rPr>
        <w:t>120</w:t>
      </w:r>
      <w:r>
        <w:rPr>
          <w:rFonts w:hint="eastAsia" w:ascii="宋体" w:hAnsi="宋体" w:eastAsia="宋体"/>
        </w:rPr>
        <w:t>余台（件），其中学校计算机共9</w:t>
      </w:r>
      <w:r>
        <w:rPr>
          <w:rFonts w:ascii="宋体" w:hAnsi="宋体" w:eastAsia="宋体"/>
        </w:rPr>
        <w:t>0</w:t>
      </w:r>
      <w:r>
        <w:rPr>
          <w:rFonts w:hint="eastAsia" w:ascii="宋体" w:hAnsi="宋体" w:eastAsia="宋体"/>
        </w:rPr>
        <w:t>台，可以满足办学初期的实训教学需要；同时大力加强实训基地建设，建设功能综合化、环境职业化、作业标准化、管理企业化、运行开放化的具有产学研融合的校内综合实训基地，建设“中医健康管理中心”、“中医康复中心”、“中药实践与公共服务中心”等实训和社会服务平台，实现全方位、一体式、智能化管理，打造学生理论学习、课程实践和专业实训的一体化学习场所。</w:t>
      </w:r>
    </w:p>
    <w:p>
      <w:pPr>
        <w:numPr>
          <w:ilvl w:val="0"/>
          <w:numId w:val="2"/>
        </w:numPr>
        <w:autoSpaceDE w:val="0"/>
        <w:autoSpaceDN w:val="0"/>
        <w:spacing w:after="156" w:afterLines="50" w:line="400" w:lineRule="exact"/>
        <w:ind w:left="1123" w:right="525" w:rightChars="250"/>
        <w:jc w:val="left"/>
        <w:rPr>
          <w:rFonts w:ascii="仿宋" w:hAnsi="仿宋" w:eastAsia="仿宋"/>
          <w:b/>
          <w:bCs/>
          <w:sz w:val="24"/>
          <w:szCs w:val="24"/>
        </w:rPr>
      </w:pPr>
      <w:r>
        <w:rPr>
          <w:rFonts w:hint="eastAsia" w:ascii="仿宋" w:hAnsi="仿宋" w:eastAsia="仿宋"/>
          <w:b/>
          <w:bCs/>
          <w:sz w:val="24"/>
          <w:szCs w:val="24"/>
        </w:rPr>
        <w:t>科研条件完善</w:t>
      </w:r>
    </w:p>
    <w:p>
      <w:pPr>
        <w:spacing w:line="400" w:lineRule="exact"/>
        <w:ind w:left="210" w:leftChars="100" w:right="630" w:rightChars="300" w:firstLine="420" w:firstLineChars="200"/>
        <w:rPr>
          <w:rFonts w:ascii="宋体" w:hAnsi="宋体" w:eastAsia="宋体"/>
        </w:rPr>
      </w:pPr>
      <w:r>
        <w:rPr>
          <w:rFonts w:hint="eastAsia" w:ascii="宋体" w:hAnsi="宋体" w:eastAsia="宋体"/>
        </w:rPr>
        <w:t>学校通过实施“差异化”错位发展和“不平衡”扶优发展策略，追求学科专业的特色和水平。学校现有国家级一流本科专业建设点2个、省级一流本科专业建设点2个，省级重点学科2个，中华工程教育认证(IEET)专业1个，省级综合改革试点专业7个、省级特色专业5个、省级重点专业2个、省级战略新兴特色专业1个、省级应用型人才培养示范专业1个、省级卓越人才培养计划专业1个，省级大学生实践教学基地7个，省级人才培养模式创新实验区6个，省级实验教学示范中心3个，省级教学团队4个，省级一流课程3门、省级课程思政示范项目课程5门、省级精品资源共享课5门、省级在线开放课程6门，省级产业学院1个，省级教育教学成果奖一等奖1项，省高教学会在线教学优秀案例奖4项。学校拥有省级实验教学示范中心3个，省级教学团队4个，省级一流课程3门、省级课程思政示范项目课程5门、省级精品资源共享课5门、省级在线开放课程6门，省级产业学院1个，省级教育教学成果奖一等奖1项，省高教学会在线教学优秀案例奖4项。</w:t>
      </w:r>
    </w:p>
    <w:p>
      <w:pPr>
        <w:spacing w:line="400" w:lineRule="exact"/>
        <w:ind w:left="210" w:leftChars="100" w:right="630" w:rightChars="300" w:firstLine="420" w:firstLineChars="200"/>
        <w:rPr>
          <w:rFonts w:ascii="宋体" w:hAnsi="宋体" w:eastAsia="宋体"/>
        </w:rPr>
      </w:pPr>
      <w:r>
        <w:rPr>
          <w:rFonts w:hint="eastAsia" w:ascii="宋体" w:hAnsi="宋体" w:eastAsia="宋体"/>
        </w:rPr>
        <w:t>学校图书馆面积2.91万平方米，文献信息资源丰富。现有纸本藏书197.49余万册，电子图书160余万册；拥有中国知网等各类数据库及平台，同时实现与中山大学图书馆电子资源共享；采用24小时开放的管理模式，</w:t>
      </w:r>
      <w:r>
        <w:rPr>
          <w:rFonts w:hint="eastAsia" w:ascii="宋体" w:hAnsi="宋体" w:eastAsia="宋体"/>
        </w:rPr>
        <w:t>全方位满足健康管理与服务专业建设需求。</w:t>
      </w:r>
    </w:p>
    <w:p>
      <w:pPr>
        <w:numPr>
          <w:ilvl w:val="0"/>
          <w:numId w:val="2"/>
        </w:numPr>
        <w:autoSpaceDE w:val="0"/>
        <w:autoSpaceDN w:val="0"/>
        <w:spacing w:before="156" w:beforeLines="50" w:after="156" w:afterLines="50" w:line="400" w:lineRule="exact"/>
        <w:ind w:left="1123" w:right="525" w:rightChars="250"/>
        <w:jc w:val="left"/>
        <w:rPr>
          <w:rFonts w:ascii="仿宋" w:hAnsi="仿宋" w:eastAsia="仿宋"/>
          <w:b/>
          <w:bCs/>
          <w:sz w:val="24"/>
          <w:szCs w:val="24"/>
        </w:rPr>
      </w:pPr>
      <w:r>
        <w:rPr>
          <w:rFonts w:hint="eastAsia" w:ascii="仿宋" w:hAnsi="仿宋" w:eastAsia="仿宋"/>
          <w:b/>
          <w:bCs/>
          <w:sz w:val="24"/>
          <w:szCs w:val="24"/>
        </w:rPr>
        <w:t>实训基地保障</w:t>
      </w:r>
      <w:bookmarkStart w:id="0" w:name="_GoBack"/>
      <w:bookmarkEnd w:id="0"/>
    </w:p>
    <w:p>
      <w:pPr>
        <w:autoSpaceDE w:val="0"/>
        <w:autoSpaceDN w:val="0"/>
        <w:spacing w:line="400" w:lineRule="exact"/>
        <w:ind w:left="210" w:leftChars="100" w:right="630" w:rightChars="300" w:firstLine="420" w:firstLineChars="200"/>
        <w:rPr>
          <w:rFonts w:ascii="宋体" w:hAnsi="宋体" w:eastAsia="宋体"/>
          <w:szCs w:val="21"/>
        </w:rPr>
      </w:pPr>
      <w:r>
        <w:rPr>
          <w:rFonts w:hint="eastAsia" w:ascii="宋体" w:hAnsi="宋体" w:eastAsia="宋体"/>
          <w:szCs w:val="21"/>
        </w:rPr>
        <w:t>学院积极加强附属医院建设，现拥有直属附属医院一所（从化区中医院），同时与中山大学多所附属医院等众多三甲医院和云康集团在内的一批实力雄厚的医疗单位和机构建立实习合作，为学生提供师资优良的实训教学基地以保证教学质量。与此同时，学院积极开展中高端实习基地建设，与政府重点打造的医养结合养老机构建立深度合作关系。并且通过校外实习强化学生操作技能，选择经营能力和抗风险能力强且真正有人才需求的优质企业，共同完善学生实习计划及培养管理办法，妥善制订校企生三方协议，明确各方的责任义务，使学生的实习与工作得到有效保障。</w:t>
      </w:r>
    </w:p>
    <w:p>
      <w:pPr>
        <w:pStyle w:val="13"/>
        <w:numPr>
          <w:ilvl w:val="0"/>
          <w:numId w:val="1"/>
        </w:numPr>
        <w:spacing w:before="312" w:beforeLines="100" w:line="360" w:lineRule="auto"/>
        <w:ind w:firstLineChars="0"/>
        <w:rPr>
          <w:rFonts w:ascii="微软雅黑" w:hAnsi="微软雅黑" w:eastAsia="微软雅黑"/>
          <w:b/>
          <w:bCs/>
          <w:sz w:val="28"/>
          <w:szCs w:val="28"/>
        </w:rPr>
      </w:pPr>
      <w:r>
        <w:rPr>
          <w:rFonts w:hint="eastAsia" w:ascii="微软雅黑" w:hAnsi="微软雅黑" w:eastAsia="微软雅黑"/>
          <w:b/>
          <w:bCs/>
          <w:sz w:val="28"/>
          <w:szCs w:val="28"/>
        </w:rPr>
        <w:t>专业建设指导思想</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以国家“大健康”发展为导向；</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以推进我国健康产业发展为目标；</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以现代健康理念为核心；</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以大数据处理技术为手段；</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符合国家和社会发展的健康产业需求；</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具有现代健康社会理念；</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注重专业教育；</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重视通识教育；</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加强健康服务与管理理论与方法的实践；</w:t>
      </w:r>
    </w:p>
    <w:p>
      <w:pPr>
        <w:pStyle w:val="13"/>
        <w:spacing w:line="400" w:lineRule="exact"/>
        <w:ind w:left="567" w:right="630" w:rightChars="300" w:firstLine="0" w:firstLineChars="0"/>
        <w:rPr>
          <w:rFonts w:ascii="宋体" w:hAnsi="宋体" w:eastAsia="宋体"/>
          <w:szCs w:val="21"/>
        </w:rPr>
      </w:pPr>
      <w:r>
        <w:rPr>
          <w:rFonts w:ascii="宋体" w:hAnsi="宋体" w:eastAsia="宋体"/>
          <w:szCs w:val="21"/>
        </w:rPr>
        <w:t>了解大健康产业发展前沿；</w:t>
      </w:r>
    </w:p>
    <w:p>
      <w:pPr>
        <w:pStyle w:val="13"/>
        <w:spacing w:line="400" w:lineRule="exact"/>
        <w:ind w:left="567" w:right="630" w:rightChars="300" w:firstLine="0" w:firstLineChars="0"/>
        <w:rPr>
          <w:rFonts w:ascii="宋体" w:hAnsi="宋体" w:eastAsia="宋体"/>
          <w:b/>
          <w:bCs/>
          <w:szCs w:val="21"/>
        </w:rPr>
      </w:pPr>
      <w:r>
        <w:rPr>
          <w:rFonts w:ascii="宋体" w:hAnsi="宋体" w:eastAsia="宋体"/>
          <w:szCs w:val="21"/>
        </w:rPr>
        <w:t>引导学生具有开放的知识结构和优秀的职业素养。</w:t>
      </w:r>
    </w:p>
    <w:p>
      <w:pPr>
        <w:spacing w:before="312" w:beforeLines="100" w:line="360" w:lineRule="auto"/>
        <w:rPr>
          <w:rFonts w:ascii="微软雅黑" w:hAnsi="微软雅黑" w:eastAsia="微软雅黑"/>
          <w:b/>
          <w:bCs/>
          <w:sz w:val="28"/>
          <w:szCs w:val="28"/>
        </w:rPr>
      </w:pPr>
      <w:r>
        <w:rPr>
          <w:rFonts w:hint="eastAsia" w:ascii="微软雅黑" w:hAnsi="微软雅黑" w:eastAsia="微软雅黑"/>
          <w:b/>
          <w:bCs/>
          <w:sz w:val="28"/>
          <w:szCs w:val="28"/>
        </w:rPr>
        <w:t>三、专业建设规划</w:t>
      </w:r>
    </w:p>
    <w:p>
      <w:pPr>
        <w:pStyle w:val="13"/>
        <w:numPr>
          <w:ilvl w:val="0"/>
          <w:numId w:val="3"/>
        </w:numPr>
        <w:autoSpaceDE w:val="0"/>
        <w:autoSpaceDN w:val="0"/>
        <w:spacing w:before="156" w:beforeLines="50" w:after="156" w:afterLines="50"/>
        <w:ind w:firstLineChars="0"/>
        <w:jc w:val="left"/>
        <w:rPr>
          <w:rFonts w:ascii="仿宋" w:hAnsi="仿宋" w:eastAsia="仿宋"/>
          <w:b/>
          <w:bCs/>
          <w:sz w:val="24"/>
        </w:rPr>
      </w:pPr>
      <w:r>
        <w:rPr>
          <w:rFonts w:ascii="仿宋" w:hAnsi="仿宋" w:eastAsia="仿宋"/>
          <w:b/>
          <w:bCs/>
          <w:sz w:val="24"/>
        </w:rPr>
        <w:t>师资建设</w:t>
      </w:r>
      <w:r>
        <w:rPr>
          <w:rFonts w:hint="eastAsia" w:ascii="仿宋" w:hAnsi="仿宋" w:eastAsia="仿宋"/>
          <w:b/>
          <w:bCs/>
          <w:sz w:val="24"/>
        </w:rPr>
        <w:t>规划</w:t>
      </w:r>
    </w:p>
    <w:p>
      <w:pPr>
        <w:spacing w:line="400" w:lineRule="exact"/>
        <w:ind w:left="210" w:leftChars="100" w:right="630" w:rightChars="300" w:firstLine="420" w:firstLineChars="200"/>
        <w:rPr>
          <w:rFonts w:ascii="宋体" w:hAnsi="宋体" w:eastAsia="宋体"/>
          <w:szCs w:val="21"/>
        </w:rPr>
      </w:pPr>
      <w:r>
        <w:rPr>
          <w:rFonts w:ascii="宋体" w:hAnsi="宋体" w:eastAsia="宋体"/>
          <w:szCs w:val="21"/>
        </w:rPr>
        <w:t>在稳定现有师资队伍建设基础上，采用引进与培养结合的方式加强师资队伍建设，整合人才资源，</w:t>
      </w:r>
      <w:r>
        <w:rPr>
          <w:rFonts w:hint="eastAsia" w:ascii="宋体" w:hAnsi="宋体" w:eastAsia="宋体"/>
          <w:szCs w:val="21"/>
        </w:rPr>
        <w:t>自2019学年开始，学校启动了面向全球引进百名青年博士计划、面向行业引进双师型博士计划、学科带头人招募计划，拟用3-5年的时间新增300名高水平师资，为创建一流的教师队伍砥砺奋进。现阶段，本院健康服务与管理专业拟建设拥有13人的专业师资团队，其中专职教师10人，兼职教师3人；其中副教授及以上职称教师5人；拥有博士学历教师3人，硕士学历教师10人，其中与南方学院公共管理学院、云康医学与健康学院、护理与健康学院共享享专职5人，拟新聘5人。计划未来4年招生约200人，师生比约为1:15.4。</w:t>
      </w:r>
    </w:p>
    <w:p>
      <w:pPr>
        <w:pStyle w:val="13"/>
        <w:numPr>
          <w:ilvl w:val="0"/>
          <w:numId w:val="3"/>
        </w:numPr>
        <w:autoSpaceDE w:val="0"/>
        <w:autoSpaceDN w:val="0"/>
        <w:spacing w:before="156" w:beforeLines="50" w:after="156" w:afterLines="50"/>
        <w:ind w:firstLineChars="0"/>
        <w:jc w:val="left"/>
        <w:rPr>
          <w:rFonts w:ascii="仿宋" w:hAnsi="仿宋" w:eastAsia="仿宋"/>
          <w:b/>
          <w:bCs/>
          <w:sz w:val="24"/>
        </w:rPr>
      </w:pPr>
      <w:r>
        <w:rPr>
          <w:rFonts w:ascii="仿宋" w:hAnsi="仿宋" w:eastAsia="仿宋"/>
          <w:b/>
          <w:bCs/>
          <w:sz w:val="24"/>
        </w:rPr>
        <w:t>人才培养定位</w:t>
      </w:r>
    </w:p>
    <w:p>
      <w:pPr>
        <w:pStyle w:val="3"/>
        <w:spacing w:before="156" w:beforeLines="50" w:line="400" w:lineRule="exact"/>
        <w:ind w:left="210" w:leftChars="100" w:right="630" w:rightChars="300" w:firstLine="422" w:firstLineChars="200"/>
        <w:rPr>
          <w:rFonts w:hint="eastAsia" w:hAnsi="宋体"/>
          <w:color w:val="000000"/>
        </w:rPr>
      </w:pPr>
      <w:r>
        <w:rPr>
          <w:rFonts w:hint="eastAsia" w:hAnsi="宋体"/>
          <w:b/>
          <w:color w:val="000000"/>
        </w:rPr>
        <w:t>以</w:t>
      </w:r>
      <w:r>
        <w:rPr>
          <w:rFonts w:hAnsi="宋体"/>
          <w:b/>
          <w:color w:val="000000"/>
        </w:rPr>
        <w:t>社会需求为导向</w:t>
      </w:r>
      <w:r>
        <w:rPr>
          <w:rFonts w:hAnsi="宋体"/>
          <w:color w:val="000000"/>
        </w:rPr>
        <w:t>，培养知识与实践能力并重、具有系统的管理学、医学基本理论、基本知识和基本技能，有一定</w:t>
      </w:r>
      <w:r>
        <w:rPr>
          <w:rFonts w:hAnsi="宋体"/>
          <w:b/>
          <w:color w:val="000000"/>
        </w:rPr>
        <w:t>实践能力、创新能力、发展潜力</w:t>
      </w:r>
      <w:r>
        <w:rPr>
          <w:rFonts w:hAnsi="宋体"/>
          <w:color w:val="000000"/>
        </w:rPr>
        <w:t>以及</w:t>
      </w:r>
      <w:r>
        <w:rPr>
          <w:rFonts w:hAnsi="宋体"/>
          <w:b/>
          <w:color w:val="000000"/>
        </w:rPr>
        <w:t>面向未来信息社会</w:t>
      </w:r>
      <w:r>
        <w:rPr>
          <w:rFonts w:hAnsi="宋体"/>
          <w:color w:val="000000"/>
        </w:rPr>
        <w:t>的</w:t>
      </w:r>
      <w:r>
        <w:rPr>
          <w:rFonts w:hAnsi="宋体"/>
          <w:b/>
          <w:color w:val="000000"/>
        </w:rPr>
        <w:t>应用型人才</w:t>
      </w:r>
      <w:r>
        <w:rPr>
          <w:rFonts w:hAnsi="宋体"/>
          <w:color w:val="000000"/>
        </w:rPr>
        <w:t>。掌握中西医基础医学、预防医学、健康服务、信息技术的基本理论知识和疾病预防与控制工作的基本能力；具有分析影响人群健康的各种因素和疾病流行规律，制定预防疾病和增进人群健康措施与计划的基本能力</w:t>
      </w:r>
      <w:r>
        <w:rPr>
          <w:rFonts w:hint="eastAsia" w:hAnsi="宋体"/>
          <w:color w:val="000000"/>
        </w:rPr>
        <w:t>。</w:t>
      </w:r>
    </w:p>
    <w:p>
      <w:pPr>
        <w:pStyle w:val="13"/>
        <w:numPr>
          <w:ilvl w:val="0"/>
          <w:numId w:val="3"/>
        </w:numPr>
        <w:autoSpaceDE w:val="0"/>
        <w:autoSpaceDN w:val="0"/>
        <w:spacing w:before="156" w:beforeLines="50" w:after="156" w:afterLines="50"/>
        <w:ind w:firstLineChars="0"/>
        <w:jc w:val="left"/>
        <w:rPr>
          <w:rFonts w:ascii="仿宋" w:hAnsi="仿宋" w:eastAsia="仿宋"/>
          <w:b/>
          <w:bCs/>
          <w:sz w:val="24"/>
        </w:rPr>
      </w:pPr>
      <w:r>
        <w:rPr>
          <w:rFonts w:ascii="仿宋" w:hAnsi="仿宋" w:eastAsia="仿宋"/>
          <w:b/>
          <w:bCs/>
          <w:sz w:val="24"/>
        </w:rPr>
        <w:t>专业发展规模定位</w:t>
      </w:r>
    </w:p>
    <w:p>
      <w:pPr>
        <w:spacing w:line="400" w:lineRule="exact"/>
        <w:ind w:left="210" w:leftChars="100" w:right="630" w:rightChars="300" w:firstLine="420" w:firstLineChars="200"/>
        <w:rPr>
          <w:rFonts w:ascii="宋体" w:hAnsi="宋体" w:eastAsia="宋体"/>
          <w:szCs w:val="21"/>
        </w:rPr>
      </w:pPr>
      <w:r>
        <w:rPr>
          <w:rFonts w:ascii="宋体" w:hAnsi="宋体" w:eastAsia="宋体"/>
          <w:szCs w:val="21"/>
        </w:rPr>
        <w:t>充分利用我校医学院校的核心优势，结合我院专业发展实际情况，采取年招生数人数控制在50-60人左右稳步发展的战略方针。通过改革课程设置、教学内容、教学方法,强化基本技能训练,注重实践能力和创新能力的培养,加强理论与实践紧密结合的教学体系,构建应用型的健康服务与管理专业培养模式。</w:t>
      </w:r>
    </w:p>
    <w:p>
      <w:pPr>
        <w:spacing w:line="400" w:lineRule="exact"/>
        <w:ind w:left="210" w:leftChars="100" w:right="630" w:rightChars="300" w:firstLine="420" w:firstLineChars="200"/>
        <w:rPr>
          <w:rFonts w:ascii="宋体" w:hAnsi="宋体" w:eastAsia="宋体"/>
          <w:szCs w:val="21"/>
        </w:rPr>
      </w:pPr>
      <w:r>
        <w:rPr>
          <w:rFonts w:hint="eastAsia" w:ascii="宋体" w:hAnsi="宋体" w:eastAsia="宋体"/>
          <w:szCs w:val="21"/>
        </w:rPr>
        <w:t>未来5年内，初步建立规模结构合理的健康服务与管理专业教育教学体系，打造1-2门省级或校级示范课程；充分利用社会健康管理与服务资源，联合建成1-2个中医药健康服务与管理实践基地，在中医药健康管理和市场服务领域形成较强的行业竞争力；争取1-3项厅局级或省部级科研课题立项，逐渐发展成为本校和广东省健康服务与管理专业科学研究的重要平台。本科招生规模不断扩大，逐步夯实本专业研究生等高级人才培养的前期基础，每年发表3-5篇核心期刊论文，逐步扩大本专业的社会影响力。</w:t>
      </w:r>
    </w:p>
    <w:p>
      <w:pPr>
        <w:spacing w:line="400" w:lineRule="exact"/>
        <w:ind w:left="210" w:leftChars="100" w:right="630" w:rightChars="300" w:firstLine="420" w:firstLineChars="200"/>
        <w:rPr>
          <w:rFonts w:hint="eastAsia" w:ascii="宋体" w:hAnsi="宋体" w:eastAsia="宋体"/>
          <w:szCs w:val="21"/>
        </w:rPr>
      </w:pPr>
    </w:p>
    <w:p>
      <w:pPr>
        <w:spacing w:before="312" w:beforeLines="100" w:line="360" w:lineRule="auto"/>
        <w:rPr>
          <w:rFonts w:ascii="微软雅黑" w:hAnsi="微软雅黑" w:eastAsia="微软雅黑"/>
          <w:b/>
          <w:bCs/>
          <w:sz w:val="28"/>
          <w:szCs w:val="28"/>
        </w:rPr>
      </w:pPr>
      <w:r>
        <w:rPr>
          <w:rFonts w:hint="eastAsia" w:ascii="微软雅黑" w:hAnsi="微软雅黑" w:eastAsia="微软雅黑"/>
          <w:b/>
          <w:bCs/>
          <w:sz w:val="28"/>
          <w:szCs w:val="28"/>
        </w:rPr>
        <w:t>四、人才培养模式和培养方案</w:t>
      </w:r>
    </w:p>
    <w:p>
      <w:pPr>
        <w:pStyle w:val="13"/>
        <w:numPr>
          <w:ilvl w:val="0"/>
          <w:numId w:val="4"/>
        </w:numPr>
        <w:spacing w:line="400" w:lineRule="exact"/>
        <w:ind w:right="630" w:rightChars="300" w:firstLineChars="0"/>
        <w:rPr>
          <w:rFonts w:ascii="仿宋" w:hAnsi="仿宋" w:eastAsia="仿宋"/>
          <w:b/>
          <w:bCs/>
          <w:sz w:val="28"/>
          <w:szCs w:val="28"/>
        </w:rPr>
      </w:pPr>
      <w:r>
        <w:rPr>
          <w:rFonts w:hint="eastAsia" w:ascii="仿宋" w:hAnsi="仿宋" w:eastAsia="仿宋"/>
          <w:b/>
          <w:bCs/>
          <w:sz w:val="28"/>
          <w:szCs w:val="28"/>
        </w:rPr>
        <w:t>人才培养模式</w:t>
      </w:r>
    </w:p>
    <w:p>
      <w:pPr>
        <w:pStyle w:val="2"/>
        <w:spacing w:before="0" w:after="0" w:line="400" w:lineRule="exact"/>
        <w:ind w:firstLine="420" w:firstLineChars="200"/>
        <w:jc w:val="both"/>
        <w:rPr>
          <w:rFonts w:ascii="宋体" w:hAnsi="宋体"/>
          <w:color w:val="000000"/>
          <w:kern w:val="2"/>
          <w:sz w:val="21"/>
          <w:szCs w:val="21"/>
          <w:lang w:val="en-US" w:eastAsia="zh-CN"/>
        </w:rPr>
      </w:pPr>
      <w:r>
        <w:rPr>
          <w:rFonts w:ascii="宋体" w:hAnsi="宋体"/>
          <w:sz w:val="21"/>
          <w:szCs w:val="21"/>
          <w:lang w:eastAsia="zh-CN"/>
        </w:rPr>
        <w:t>参照《公共管理类教学质量国家标准》和《健康管理师国家职业标准》 的要求，结合自身师资条件与优势，计划采取</w:t>
      </w:r>
      <w:r>
        <w:rPr>
          <w:rFonts w:hint="eastAsia" w:ascii="宋体" w:hAnsi="宋体" w:cs="宋体"/>
          <w:sz w:val="21"/>
          <w:szCs w:val="21"/>
          <w:shd w:val="clear" w:color="auto" w:fill="FFFFFF"/>
          <w:lang w:eastAsia="zh-CN"/>
        </w:rPr>
        <w:t>采用“3+1”人才培养模式，同时突出健康服务与管理培养特色，通过三年的基础理论学习和一年的实习实训课程，可具备牢固的健康服务与管理专业基础，具备科学思维、分析问题和独立工作的能力，毕业生能够在</w:t>
      </w:r>
      <w:r>
        <w:rPr>
          <w:rFonts w:ascii="宋体" w:hAnsi="宋体"/>
          <w:color w:val="000000"/>
          <w:kern w:val="2"/>
          <w:sz w:val="21"/>
          <w:szCs w:val="21"/>
          <w:lang w:val="en-US" w:eastAsia="zh-CN"/>
        </w:rPr>
        <w:t>医疗服务机构、社区卫生服务中心、健康体检中心、健康管理公司、营养咨询公司、心理咨询机构、医药公司、养生会所、康体中心、养老院等从事健康监测、分析、评估、健康教育、健康咨询、健康指导和健康危险因素干预及自主创业</w:t>
      </w:r>
      <w:r>
        <w:rPr>
          <w:rFonts w:hint="eastAsia" w:ascii="宋体" w:hAnsi="宋体"/>
          <w:color w:val="000000"/>
          <w:kern w:val="2"/>
          <w:sz w:val="21"/>
          <w:szCs w:val="21"/>
          <w:lang w:val="en-US" w:eastAsia="zh-CN"/>
        </w:rPr>
        <w:t>的工作，</w:t>
      </w:r>
      <w:r>
        <w:rPr>
          <w:rFonts w:hint="eastAsia" w:ascii="宋体" w:hAnsi="宋体" w:cs="宋体"/>
          <w:sz w:val="21"/>
          <w:szCs w:val="21"/>
          <w:shd w:val="clear" w:color="auto" w:fill="FFFFFF"/>
          <w:lang w:eastAsia="zh-CN"/>
        </w:rPr>
        <w:t>初步具备开展健康服务与管理各领域的科学研究工作的能力，培养出融健康服务、健康管理、咨询、评估、教学、科研能力为一体</w:t>
      </w:r>
      <w:r>
        <w:rPr>
          <w:rFonts w:ascii="宋体" w:hAnsi="宋体"/>
          <w:color w:val="000000"/>
          <w:kern w:val="2"/>
          <w:sz w:val="21"/>
          <w:szCs w:val="21"/>
          <w:lang w:val="en-US" w:eastAsia="zh-CN"/>
        </w:rPr>
        <w:t>的高素质应用型人才</w:t>
      </w:r>
      <w:r>
        <w:rPr>
          <w:rFonts w:hint="eastAsia" w:ascii="宋体" w:hAnsi="宋体" w:cs="宋体"/>
          <w:sz w:val="21"/>
          <w:szCs w:val="21"/>
          <w:shd w:val="clear" w:color="auto" w:fill="FFFFFF"/>
          <w:lang w:eastAsia="zh-CN"/>
        </w:rPr>
        <w:t>。</w:t>
      </w:r>
    </w:p>
    <w:p>
      <w:pPr>
        <w:spacing w:line="400" w:lineRule="exact"/>
        <w:ind w:left="210" w:leftChars="100" w:right="630" w:rightChars="300" w:firstLine="420" w:firstLineChars="200"/>
        <w:rPr>
          <w:rFonts w:ascii="宋体" w:hAnsi="宋体" w:eastAsia="宋体"/>
          <w:szCs w:val="21"/>
        </w:rPr>
      </w:pPr>
      <w:r>
        <w:rPr>
          <w:rFonts w:hint="eastAsia" w:ascii="宋体" w:hAnsi="宋体" w:eastAsia="宋体"/>
          <w:szCs w:val="21"/>
        </w:rPr>
        <w:t>前三年</w:t>
      </w:r>
      <w:r>
        <w:rPr>
          <w:rFonts w:ascii="宋体" w:hAnsi="宋体" w:eastAsia="宋体"/>
          <w:szCs w:val="21"/>
        </w:rPr>
        <w:t>以专业基础课程教育为主；</w:t>
      </w:r>
    </w:p>
    <w:p>
      <w:pPr>
        <w:spacing w:line="400" w:lineRule="exact"/>
        <w:ind w:left="210" w:leftChars="100" w:right="630" w:rightChars="300" w:firstLine="420" w:firstLineChars="200"/>
        <w:rPr>
          <w:rFonts w:ascii="宋体" w:hAnsi="宋体" w:eastAsia="宋体"/>
          <w:szCs w:val="21"/>
        </w:rPr>
      </w:pPr>
      <w:r>
        <w:rPr>
          <w:rFonts w:hint="eastAsia" w:ascii="宋体" w:hAnsi="宋体" w:eastAsia="宋体"/>
          <w:szCs w:val="21"/>
        </w:rPr>
        <w:t>后一年以</w:t>
      </w:r>
      <w:r>
        <w:rPr>
          <w:rFonts w:ascii="宋体" w:hAnsi="宋体" w:eastAsia="宋体"/>
          <w:szCs w:val="21"/>
        </w:rPr>
        <w:t>实训实践课程为主，安排在实训基地实习；</w:t>
      </w:r>
    </w:p>
    <w:p>
      <w:pPr>
        <w:spacing w:line="400" w:lineRule="exact"/>
        <w:ind w:left="210" w:leftChars="100" w:right="630" w:rightChars="300" w:firstLine="420" w:firstLineChars="200"/>
        <w:rPr>
          <w:rFonts w:ascii="宋体" w:hAnsi="宋体" w:eastAsia="宋体"/>
          <w:szCs w:val="21"/>
        </w:rPr>
      </w:pPr>
      <w:r>
        <w:rPr>
          <w:rFonts w:ascii="宋体" w:hAnsi="宋体" w:eastAsia="宋体"/>
          <w:szCs w:val="21"/>
        </w:rPr>
        <w:t>理论课程与实训课程的衔接由大学统筹。</w:t>
      </w:r>
    </w:p>
    <w:p>
      <w:pPr>
        <w:pStyle w:val="13"/>
        <w:numPr>
          <w:ilvl w:val="0"/>
          <w:numId w:val="4"/>
        </w:numPr>
        <w:spacing w:line="400" w:lineRule="exact"/>
        <w:ind w:right="630" w:rightChars="300" w:firstLineChars="0"/>
        <w:rPr>
          <w:rFonts w:ascii="仿宋" w:hAnsi="仿宋" w:eastAsia="仿宋"/>
          <w:b/>
          <w:bCs/>
          <w:sz w:val="28"/>
          <w:szCs w:val="28"/>
        </w:rPr>
      </w:pPr>
      <w:r>
        <w:rPr>
          <w:rFonts w:hint="eastAsia" w:ascii="仿宋" w:hAnsi="仿宋" w:eastAsia="仿宋"/>
          <w:b/>
          <w:bCs/>
          <w:sz w:val="28"/>
          <w:szCs w:val="28"/>
        </w:rPr>
        <w:t>人才培养方案</w:t>
      </w:r>
    </w:p>
    <w:p>
      <w:pPr>
        <w:spacing w:before="156" w:beforeLines="50"/>
        <w:rPr>
          <w:rFonts w:eastAsia="仿宋"/>
          <w:b/>
          <w:bCs/>
          <w:color w:val="000000"/>
          <w:sz w:val="24"/>
        </w:rPr>
      </w:pPr>
      <w:r>
        <w:rPr>
          <w:rFonts w:eastAsia="仿宋"/>
          <w:b/>
          <w:bCs/>
          <w:color w:val="000000"/>
          <w:sz w:val="24"/>
        </w:rPr>
        <w:t>（一）培养目标</w:t>
      </w:r>
    </w:p>
    <w:p>
      <w:pPr>
        <w:pStyle w:val="2"/>
        <w:spacing w:before="156" w:beforeLines="50" w:after="156" w:afterLines="50" w:line="400" w:lineRule="exact"/>
        <w:ind w:left="315" w:leftChars="150" w:right="630" w:rightChars="300" w:firstLine="420" w:firstLineChars="200"/>
        <w:jc w:val="both"/>
        <w:rPr>
          <w:rFonts w:ascii="Times New Roman" w:hAnsi="Times New Roman"/>
          <w:color w:val="000000"/>
          <w:kern w:val="2"/>
          <w:sz w:val="21"/>
          <w:szCs w:val="21"/>
          <w:lang w:val="en-US" w:eastAsia="zh-CN"/>
        </w:rPr>
      </w:pPr>
      <w:r>
        <w:rPr>
          <w:rFonts w:ascii="Times New Roman" w:hAnsi="Times New Roman"/>
          <w:color w:val="000000"/>
          <w:kern w:val="2"/>
          <w:sz w:val="21"/>
          <w:szCs w:val="21"/>
          <w:lang w:val="en-US" w:eastAsia="zh-CN"/>
        </w:rPr>
        <w:t>本专业以社会需求为导向，培养知识与实践能力并重、具有系统的管理学、医学基本理论、基本知识和基本技能，有一定实践能力、创新能力、发展潜力以及面向未来信息社会的</w:t>
      </w:r>
      <w:r>
        <w:rPr>
          <w:rFonts w:hint="eastAsia" w:ascii="Times New Roman" w:hAnsi="Times New Roman"/>
          <w:color w:val="000000"/>
          <w:kern w:val="2"/>
          <w:sz w:val="21"/>
          <w:szCs w:val="21"/>
          <w:lang w:val="en-US" w:eastAsia="zh-CN"/>
        </w:rPr>
        <w:t>应用</w:t>
      </w:r>
      <w:r>
        <w:rPr>
          <w:rFonts w:ascii="Times New Roman" w:hAnsi="Times New Roman"/>
          <w:color w:val="000000"/>
          <w:kern w:val="2"/>
          <w:sz w:val="21"/>
          <w:szCs w:val="21"/>
          <w:lang w:val="en-US" w:eastAsia="zh-CN"/>
        </w:rPr>
        <w:t>型人才。掌握中西医基础医学、预防医学、健康服务、信息技术的基本理论知识和疾病预防与控制工作的基本能力；具有分析影响人群健康的各种因素和疾病流行规律，制定预防疾病和增进人群健康措施与计划的基本能力，能够胜任健康服务、健康管理、健康促进、疾病防控等相关领域工作，致力于医疗服务机构、社区卫生服务中心、健康体检中心、健康管理公司、营养咨询公司、心理咨询机构、医药公司、养生会所、康体中心、养老院等从事健康监测、分析、评估、健康教育、健康咨询、健康指导和健康危险因素干预等相关工作或自主创业。</w:t>
      </w:r>
    </w:p>
    <w:p>
      <w:pPr>
        <w:pStyle w:val="3"/>
        <w:spacing w:before="156" w:beforeLines="50" w:line="400" w:lineRule="exact"/>
        <w:rPr>
          <w:rFonts w:ascii="Times New Roman" w:hAnsi="Times New Roman" w:eastAsia="仿宋" w:cs="Times New Roman"/>
          <w:b/>
          <w:color w:val="000000"/>
          <w:sz w:val="24"/>
          <w:szCs w:val="24"/>
        </w:rPr>
      </w:pPr>
      <w:r>
        <w:rPr>
          <w:rFonts w:eastAsia="仿宋"/>
          <w:b/>
          <w:bCs w:val="0"/>
          <w:color w:val="000000"/>
          <w:sz w:val="24"/>
        </w:rPr>
        <w:t>（</w:t>
      </w:r>
      <w:r>
        <w:rPr>
          <w:rFonts w:hint="eastAsia" w:eastAsia="仿宋"/>
          <w:b/>
          <w:bCs w:val="0"/>
          <w:color w:val="000000"/>
          <w:sz w:val="24"/>
        </w:rPr>
        <w:t>二</w:t>
      </w:r>
      <w:r>
        <w:rPr>
          <w:rFonts w:eastAsia="仿宋"/>
          <w:b/>
          <w:bCs w:val="0"/>
          <w:color w:val="000000"/>
          <w:sz w:val="24"/>
        </w:rPr>
        <w:t>）</w:t>
      </w:r>
      <w:r>
        <w:rPr>
          <w:rFonts w:ascii="Times New Roman" w:hAnsi="Times New Roman" w:eastAsia="仿宋" w:cs="Times New Roman"/>
          <w:b/>
          <w:color w:val="000000"/>
          <w:sz w:val="24"/>
          <w:szCs w:val="24"/>
        </w:rPr>
        <w:t>培养规格</w:t>
      </w:r>
    </w:p>
    <w:p>
      <w:pPr>
        <w:pStyle w:val="3"/>
        <w:spacing w:before="156" w:beforeLines="50" w:line="400" w:lineRule="exact"/>
        <w:ind w:firstLine="241" w:firstLineChars="1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1.知识要求</w:t>
      </w:r>
    </w:p>
    <w:p>
      <w:pPr>
        <w:numPr>
          <w:ilvl w:val="0"/>
          <w:numId w:val="5"/>
        </w:numPr>
        <w:spacing w:line="400" w:lineRule="exact"/>
        <w:ind w:left="0" w:firstLine="420" w:firstLineChars="200"/>
        <w:rPr>
          <w:rFonts w:hAnsi="宋体"/>
          <w:color w:val="000000"/>
        </w:rPr>
      </w:pPr>
      <w:r>
        <w:rPr>
          <w:rFonts w:hAnsi="宋体"/>
          <w:color w:val="000000"/>
        </w:rPr>
        <w:t>掌握</w:t>
      </w:r>
      <w:r>
        <w:rPr>
          <w:rFonts w:ascii="Times New Roman" w:hAnsi="Times New Roman" w:eastAsia="宋体" w:cs="Times New Roman"/>
          <w:color w:val="000000"/>
          <w:szCs w:val="21"/>
        </w:rPr>
        <w:t>中西医基础医学、预防医学、健康服务、信息技术</w:t>
      </w:r>
      <w:r>
        <w:rPr>
          <w:rFonts w:hAnsi="宋体"/>
          <w:color w:val="000000"/>
        </w:rPr>
        <w:t xml:space="preserve">等方面的专业理论基础知识；  </w:t>
      </w:r>
    </w:p>
    <w:p>
      <w:pPr>
        <w:numPr>
          <w:ilvl w:val="0"/>
          <w:numId w:val="5"/>
        </w:numPr>
        <w:spacing w:line="400" w:lineRule="exact"/>
        <w:ind w:left="0" w:firstLine="420" w:firstLineChars="200"/>
        <w:rPr>
          <w:rFonts w:hAnsi="宋体"/>
          <w:color w:val="000000"/>
        </w:rPr>
      </w:pPr>
      <w:r>
        <w:rPr>
          <w:rFonts w:hint="eastAsia" w:hAnsi="宋体"/>
          <w:color w:val="000000"/>
        </w:rPr>
        <w:t>掌握计算机应用、英语等的基础理论知识；</w:t>
      </w:r>
    </w:p>
    <w:p>
      <w:pPr>
        <w:numPr>
          <w:ilvl w:val="0"/>
          <w:numId w:val="5"/>
        </w:numPr>
        <w:spacing w:line="400" w:lineRule="exact"/>
        <w:ind w:left="0" w:firstLine="420" w:firstLineChars="200"/>
        <w:rPr>
          <w:rFonts w:hAnsi="宋体"/>
          <w:color w:val="000000"/>
        </w:rPr>
      </w:pPr>
      <w:r>
        <w:rPr>
          <w:rFonts w:hAnsi="宋体"/>
          <w:color w:val="000000"/>
        </w:rPr>
        <w:t>掌握健康信息管理、健康咨询与指导、服务管理、健康监测与评估、传统中医养生保健与健康促进等方面的专业基本理论知识；</w:t>
      </w:r>
    </w:p>
    <w:p>
      <w:pPr>
        <w:numPr>
          <w:ilvl w:val="0"/>
          <w:numId w:val="5"/>
        </w:numPr>
        <w:spacing w:line="400" w:lineRule="exact"/>
        <w:ind w:left="0" w:firstLine="420" w:firstLineChars="200"/>
        <w:rPr>
          <w:rFonts w:hAnsi="宋体"/>
          <w:color w:val="000000"/>
        </w:rPr>
      </w:pPr>
      <w:r>
        <w:rPr>
          <w:rFonts w:hAnsi="宋体"/>
          <w:color w:val="000000"/>
        </w:rPr>
        <w:t>掌握卫生事业管理、卫生法规、客户关系管理的专业相关理论知识 ；</w:t>
      </w:r>
    </w:p>
    <w:p>
      <w:pPr>
        <w:numPr>
          <w:ilvl w:val="0"/>
          <w:numId w:val="5"/>
        </w:numPr>
        <w:spacing w:line="400" w:lineRule="exact"/>
        <w:ind w:left="0" w:firstLine="420" w:firstLineChars="200"/>
        <w:rPr>
          <w:rFonts w:hAnsi="宋体"/>
          <w:color w:val="000000"/>
        </w:rPr>
      </w:pPr>
      <w:r>
        <w:rPr>
          <w:rFonts w:hAnsi="宋体"/>
          <w:color w:val="000000"/>
        </w:rPr>
        <w:t>了解国内外养生保健与健康促进理论前沿、发展趋势及实践的现状；</w:t>
      </w:r>
    </w:p>
    <w:p>
      <w:pPr>
        <w:spacing w:line="400" w:lineRule="exact"/>
        <w:ind w:left="420"/>
        <w:rPr>
          <w:rFonts w:hAnsi="宋体"/>
          <w:color w:val="000000"/>
        </w:rPr>
      </w:pPr>
    </w:p>
    <w:p>
      <w:pPr>
        <w:pStyle w:val="3"/>
        <w:spacing w:line="360" w:lineRule="auto"/>
        <w:ind w:firstLine="241" w:firstLineChars="100"/>
        <w:rPr>
          <w:rFonts w:ascii="Times New Roman" w:hAnsi="Times New Roman" w:eastAsia="仿宋" w:cs="Times New Roman"/>
          <w:b/>
          <w:color w:val="000000"/>
          <w:sz w:val="24"/>
          <w:szCs w:val="24"/>
        </w:rPr>
      </w:pPr>
      <w:r>
        <w:rPr>
          <w:rFonts w:ascii="Times New Roman" w:hAnsi="Times New Roman" w:eastAsia="仿宋" w:cs="Times New Roman"/>
          <w:b/>
          <w:color w:val="000000"/>
          <w:sz w:val="24"/>
          <w:szCs w:val="24"/>
        </w:rPr>
        <w:t>2.能力要求</w:t>
      </w:r>
    </w:p>
    <w:p>
      <w:pPr>
        <w:widowControl/>
        <w:numPr>
          <w:ilvl w:val="0"/>
          <w:numId w:val="6"/>
        </w:numPr>
        <w:spacing w:line="400" w:lineRule="exact"/>
        <w:rPr>
          <w:rFonts w:hAnsi="宋体"/>
          <w:color w:val="000000"/>
        </w:rPr>
      </w:pPr>
      <w:r>
        <w:t>具</w:t>
      </w:r>
      <w:r>
        <w:rPr>
          <w:rFonts w:hAnsi="宋体"/>
          <w:color w:val="000000"/>
        </w:rPr>
        <w:t>有思辨能力，掌握正确的思维方法，正确运用健康服务管理的理论、概念、工作流程和标准进行系统思考，能够运用所学知识分析和解决实际问题；</w:t>
      </w:r>
    </w:p>
    <w:p>
      <w:pPr>
        <w:widowControl/>
        <w:numPr>
          <w:ilvl w:val="0"/>
          <w:numId w:val="6"/>
        </w:numPr>
        <w:spacing w:line="400" w:lineRule="exact"/>
        <w:rPr>
          <w:rFonts w:hAnsi="宋体"/>
          <w:color w:val="000000"/>
        </w:rPr>
      </w:pPr>
      <w:r>
        <w:rPr>
          <w:rFonts w:hint="eastAsia" w:hAnsi="宋体"/>
          <w:color w:val="000000"/>
        </w:rPr>
        <w:t>具有相应的外语水平和计算机应用技术，具有文献检索、资料查询的基本技能，有初步的科学研究和实际工作能力；</w:t>
      </w:r>
    </w:p>
    <w:p>
      <w:pPr>
        <w:widowControl/>
        <w:numPr>
          <w:ilvl w:val="0"/>
          <w:numId w:val="6"/>
        </w:numPr>
        <w:spacing w:line="400" w:lineRule="exact"/>
        <w:rPr>
          <w:rFonts w:hAnsi="宋体"/>
          <w:color w:val="000000"/>
        </w:rPr>
      </w:pPr>
      <w:r>
        <w:rPr>
          <w:rFonts w:hint="eastAsia" w:hAnsi="宋体"/>
          <w:color w:val="000000"/>
        </w:rPr>
        <w:t>具有进行数据收集、处理和基本统计分析的能力；</w:t>
      </w:r>
    </w:p>
    <w:p>
      <w:pPr>
        <w:widowControl/>
        <w:numPr>
          <w:ilvl w:val="0"/>
          <w:numId w:val="6"/>
        </w:numPr>
        <w:spacing w:line="400" w:lineRule="exact"/>
        <w:rPr>
          <w:rFonts w:hAnsi="宋体"/>
          <w:color w:val="000000"/>
        </w:rPr>
      </w:pPr>
      <w:r>
        <w:rPr>
          <w:rFonts w:hint="eastAsia" w:hAnsi="宋体"/>
          <w:color w:val="000000"/>
        </w:rPr>
        <w:t>具有较强的文字表达、信息处理、人际沟通等实际工作能力；</w:t>
      </w:r>
    </w:p>
    <w:p>
      <w:pPr>
        <w:widowControl/>
        <w:numPr>
          <w:ilvl w:val="0"/>
          <w:numId w:val="6"/>
        </w:numPr>
        <w:spacing w:line="400" w:lineRule="exact"/>
        <w:rPr>
          <w:rFonts w:hAnsi="宋体"/>
          <w:color w:val="000000"/>
        </w:rPr>
      </w:pPr>
      <w:r>
        <w:rPr>
          <w:rFonts w:hint="eastAsia" w:hAnsi="宋体"/>
          <w:color w:val="000000"/>
        </w:rPr>
        <w:t>具有运用健康管理的基本分析方法和技术研究、解决实际健康管理问题的能力；</w:t>
      </w:r>
    </w:p>
    <w:p>
      <w:pPr>
        <w:widowControl/>
        <w:numPr>
          <w:ilvl w:val="0"/>
          <w:numId w:val="6"/>
        </w:numPr>
        <w:spacing w:line="400" w:lineRule="exact"/>
        <w:rPr>
          <w:rFonts w:hAnsi="宋体"/>
          <w:color w:val="000000"/>
        </w:rPr>
      </w:pPr>
      <w:r>
        <w:rPr>
          <w:rFonts w:hint="eastAsia" w:hAnsi="宋体"/>
          <w:color w:val="000000"/>
        </w:rPr>
        <w:t>具备从中西医临床、环境、心理、营养等角度，采集和管理个人或群体的健康信息的技能；</w:t>
      </w:r>
    </w:p>
    <w:p>
      <w:pPr>
        <w:widowControl/>
        <w:numPr>
          <w:ilvl w:val="0"/>
          <w:numId w:val="6"/>
        </w:numPr>
        <w:spacing w:line="400" w:lineRule="exact"/>
        <w:rPr>
          <w:rFonts w:hAnsi="宋体"/>
          <w:color w:val="000000"/>
        </w:rPr>
      </w:pPr>
      <w:r>
        <w:rPr>
          <w:rFonts w:hint="eastAsia" w:hAnsi="宋体"/>
          <w:color w:val="000000"/>
        </w:rPr>
        <w:t>具备评估个人或群体的健康和疾病危险性的技能；</w:t>
      </w:r>
    </w:p>
    <w:p>
      <w:pPr>
        <w:widowControl/>
        <w:numPr>
          <w:ilvl w:val="0"/>
          <w:numId w:val="6"/>
        </w:numPr>
        <w:spacing w:line="400" w:lineRule="exact"/>
        <w:rPr>
          <w:rFonts w:hAnsi="宋体"/>
          <w:color w:val="000000"/>
        </w:rPr>
      </w:pPr>
      <w:r>
        <w:rPr>
          <w:rFonts w:hint="eastAsia" w:hAnsi="宋体"/>
          <w:color w:val="000000"/>
        </w:rPr>
        <w:t>具备开展个人或群体的健康咨询与指导的技能；</w:t>
      </w:r>
    </w:p>
    <w:p>
      <w:pPr>
        <w:widowControl/>
        <w:numPr>
          <w:ilvl w:val="0"/>
          <w:numId w:val="6"/>
        </w:numPr>
        <w:spacing w:line="400" w:lineRule="exact"/>
        <w:rPr>
          <w:rFonts w:hAnsi="宋体"/>
          <w:color w:val="000000"/>
        </w:rPr>
      </w:pPr>
      <w:r>
        <w:rPr>
          <w:rFonts w:hint="eastAsia" w:hAnsi="宋体"/>
          <w:color w:val="000000"/>
        </w:rPr>
        <w:t>具备制定个人或群体的健康促进计划的技能；</w:t>
      </w:r>
    </w:p>
    <w:p>
      <w:pPr>
        <w:widowControl/>
        <w:numPr>
          <w:ilvl w:val="0"/>
          <w:numId w:val="6"/>
        </w:numPr>
        <w:spacing w:line="400" w:lineRule="exact"/>
        <w:ind w:left="850" w:hanging="425"/>
        <w:rPr>
          <w:rFonts w:hAnsi="宋体"/>
          <w:color w:val="000000"/>
        </w:rPr>
      </w:pPr>
      <w:r>
        <w:rPr>
          <w:rFonts w:hint="eastAsia" w:hAnsi="宋体"/>
          <w:color w:val="000000"/>
        </w:rPr>
        <w:t>具备对个人或群体进行健康教育与健康维护的技能；</w:t>
      </w:r>
    </w:p>
    <w:p>
      <w:pPr>
        <w:widowControl/>
        <w:numPr>
          <w:ilvl w:val="0"/>
          <w:numId w:val="6"/>
        </w:numPr>
        <w:spacing w:line="400" w:lineRule="exact"/>
        <w:rPr>
          <w:rFonts w:hAnsi="宋体"/>
          <w:color w:val="000000"/>
        </w:rPr>
      </w:pPr>
      <w:r>
        <w:rPr>
          <w:rFonts w:hint="eastAsia" w:hAnsi="宋体"/>
          <w:color w:val="000000"/>
        </w:rPr>
        <w:t>具备开展健康管理技术的研究与开发的技能；</w:t>
      </w:r>
    </w:p>
    <w:p>
      <w:pPr>
        <w:widowControl/>
        <w:numPr>
          <w:ilvl w:val="0"/>
          <w:numId w:val="6"/>
        </w:numPr>
        <w:spacing w:line="400" w:lineRule="exact"/>
        <w:rPr>
          <w:rFonts w:hAnsi="宋体"/>
          <w:color w:val="000000"/>
        </w:rPr>
      </w:pPr>
      <w:r>
        <w:rPr>
          <w:rFonts w:hint="eastAsia" w:hAnsi="宋体"/>
          <w:color w:val="000000"/>
        </w:rPr>
        <w:t>具备开展健康管理技术应用的成效评估的技能；</w:t>
      </w:r>
    </w:p>
    <w:p>
      <w:pPr>
        <w:widowControl/>
        <w:numPr>
          <w:ilvl w:val="0"/>
          <w:numId w:val="6"/>
        </w:numPr>
        <w:spacing w:line="400" w:lineRule="exact"/>
        <w:rPr>
          <w:rFonts w:hAnsi="宋体"/>
          <w:color w:val="000000"/>
        </w:rPr>
      </w:pPr>
      <w:r>
        <w:t>具有创新创业能力，具备创新创业意识</w:t>
      </w:r>
      <w:r>
        <w:rPr>
          <w:rFonts w:hint="eastAsia"/>
        </w:rPr>
        <w:t>。</w:t>
      </w:r>
    </w:p>
    <w:p>
      <w:pPr>
        <w:pStyle w:val="3"/>
        <w:spacing w:line="360" w:lineRule="auto"/>
        <w:ind w:firstLine="241" w:firstLineChars="100"/>
        <w:rPr>
          <w:rFonts w:ascii="Times New Roman" w:hAnsi="Times New Roman" w:eastAsia="仿宋" w:cs="Times New Roman"/>
          <w:b/>
          <w:color w:val="000000"/>
          <w:sz w:val="24"/>
          <w:szCs w:val="24"/>
        </w:rPr>
      </w:pPr>
      <w:r>
        <w:rPr>
          <w:rFonts w:hint="eastAsia" w:ascii="Times New Roman" w:hAnsi="Times New Roman" w:eastAsia="仿宋" w:cs="Times New Roman"/>
          <w:b/>
          <w:color w:val="000000"/>
          <w:sz w:val="24"/>
          <w:szCs w:val="24"/>
        </w:rPr>
        <w:t>3.</w:t>
      </w:r>
      <w:r>
        <w:rPr>
          <w:rFonts w:ascii="Times New Roman" w:hAnsi="Times New Roman" w:eastAsia="仿宋" w:cs="Times New Roman"/>
          <w:b/>
          <w:color w:val="000000"/>
          <w:sz w:val="24"/>
          <w:szCs w:val="24"/>
        </w:rPr>
        <w:t>素质</w:t>
      </w:r>
      <w:r>
        <w:rPr>
          <w:rFonts w:hint="eastAsia" w:ascii="Times New Roman" w:hAnsi="Times New Roman" w:eastAsia="仿宋" w:cs="Times New Roman"/>
          <w:b/>
          <w:color w:val="000000"/>
          <w:sz w:val="24"/>
          <w:szCs w:val="24"/>
        </w:rPr>
        <w:t>要求</w:t>
      </w:r>
      <w:r>
        <w:rPr>
          <w:rFonts w:ascii="Times New Roman" w:hAnsi="Times New Roman" w:eastAsia="仿宋" w:cs="Times New Roman"/>
          <w:b/>
          <w:color w:val="000000"/>
          <w:sz w:val="24"/>
          <w:szCs w:val="24"/>
        </w:rPr>
        <w:t>：</w:t>
      </w:r>
    </w:p>
    <w:p>
      <w:pPr>
        <w:widowControl/>
        <w:numPr>
          <w:ilvl w:val="0"/>
          <w:numId w:val="7"/>
        </w:numPr>
        <w:spacing w:line="400" w:lineRule="exact"/>
        <w:ind w:left="850" w:hanging="425"/>
        <w:rPr>
          <w:rFonts w:hAnsi="宋体"/>
          <w:color w:val="000000"/>
        </w:rPr>
      </w:pPr>
      <w:r>
        <w:rPr>
          <w:rFonts w:hAnsi="宋体"/>
          <w:color w:val="000000"/>
        </w:rPr>
        <w:t>具有政治素质，热爱祖国，遵纪守法，拥护中国共产党</w:t>
      </w:r>
      <w:r>
        <w:rPr>
          <w:rFonts w:hint="eastAsia" w:hAnsi="宋体"/>
          <w:color w:val="000000"/>
        </w:rPr>
        <w:t>领导</w:t>
      </w:r>
      <w:r>
        <w:rPr>
          <w:rFonts w:hAnsi="宋体"/>
          <w:color w:val="000000"/>
        </w:rPr>
        <w:t>，弘扬社会主义价值观。</w:t>
      </w:r>
    </w:p>
    <w:p>
      <w:pPr>
        <w:widowControl/>
        <w:numPr>
          <w:ilvl w:val="0"/>
          <w:numId w:val="7"/>
        </w:numPr>
        <w:spacing w:line="400" w:lineRule="exact"/>
        <w:ind w:left="850" w:hanging="425"/>
        <w:rPr>
          <w:rFonts w:hAnsi="宋体"/>
          <w:color w:val="000000"/>
        </w:rPr>
      </w:pPr>
      <w:r>
        <w:rPr>
          <w:rFonts w:hAnsi="宋体"/>
          <w:color w:val="000000"/>
        </w:rPr>
        <w:t>具有道德素质，有较强的服务意识和的服务理念，</w:t>
      </w:r>
      <w:r>
        <w:rPr>
          <w:rFonts w:hint="eastAsia" w:hAnsi="宋体"/>
          <w:color w:val="000000"/>
        </w:rPr>
        <w:t>有</w:t>
      </w:r>
      <w:r>
        <w:rPr>
          <w:rFonts w:hAnsi="宋体"/>
          <w:color w:val="000000"/>
        </w:rPr>
        <w:t>较强的责任感。</w:t>
      </w:r>
    </w:p>
    <w:p>
      <w:pPr>
        <w:widowControl/>
        <w:numPr>
          <w:ilvl w:val="0"/>
          <w:numId w:val="7"/>
        </w:numPr>
        <w:spacing w:line="400" w:lineRule="exact"/>
        <w:ind w:left="850" w:hanging="425"/>
        <w:rPr>
          <w:rFonts w:hAnsi="宋体"/>
          <w:color w:val="000000"/>
        </w:rPr>
      </w:pPr>
      <w:r>
        <w:rPr>
          <w:rFonts w:hAnsi="宋体"/>
          <w:color w:val="000000"/>
        </w:rPr>
        <w:t>具有身体素质，包括健康的体魄和良好的生活习惯。</w:t>
      </w:r>
    </w:p>
    <w:p>
      <w:pPr>
        <w:widowControl/>
        <w:numPr>
          <w:ilvl w:val="0"/>
          <w:numId w:val="7"/>
        </w:numPr>
        <w:spacing w:line="400" w:lineRule="exact"/>
        <w:ind w:left="850" w:hanging="425"/>
        <w:rPr>
          <w:rFonts w:hAnsi="宋体"/>
          <w:color w:val="000000"/>
        </w:rPr>
      </w:pPr>
      <w:r>
        <w:rPr>
          <w:rFonts w:hAnsi="宋体"/>
          <w:color w:val="000000"/>
        </w:rPr>
        <w:t>具有心理素质，树立正确的人生观和价值观，</w:t>
      </w:r>
      <w:r>
        <w:rPr>
          <w:rFonts w:hint="eastAsia" w:hAnsi="宋体"/>
          <w:color w:val="000000"/>
        </w:rPr>
        <w:t>有强烈的社会责任感；</w:t>
      </w:r>
    </w:p>
    <w:p>
      <w:pPr>
        <w:widowControl/>
        <w:numPr>
          <w:ilvl w:val="0"/>
          <w:numId w:val="7"/>
        </w:numPr>
        <w:spacing w:line="400" w:lineRule="exact"/>
        <w:ind w:left="850" w:hanging="425"/>
        <w:rPr>
          <w:rFonts w:hAnsi="宋体"/>
          <w:color w:val="000000"/>
        </w:rPr>
      </w:pPr>
      <w:r>
        <w:rPr>
          <w:rFonts w:hint="eastAsia" w:hAnsi="宋体"/>
          <w:color w:val="000000"/>
        </w:rPr>
        <w:t>具有职业素质，遵纪守法、爱岗敬业、团结协作、乐于奉献、勇于创新。</w:t>
      </w:r>
    </w:p>
    <w:p>
      <w:pPr>
        <w:rPr>
          <w:b/>
          <w:bCs/>
          <w:color w:val="000000"/>
          <w:sz w:val="28"/>
          <w:szCs w:val="28"/>
        </w:rPr>
      </w:pPr>
      <w:r>
        <w:rPr>
          <w:b/>
          <w:bCs/>
          <w:color w:val="000000"/>
          <w:sz w:val="28"/>
          <w:szCs w:val="28"/>
        </w:rPr>
        <w:t>三、专业主干课程</w:t>
      </w:r>
    </w:p>
    <w:p>
      <w:pPr>
        <w:pStyle w:val="13"/>
        <w:widowControl/>
        <w:spacing w:line="400" w:lineRule="exact"/>
        <w:rPr>
          <w:rFonts w:ascii="宋体" w:hAnsi="宋体" w:cs="Arial"/>
          <w:szCs w:val="21"/>
        </w:rPr>
      </w:pPr>
      <w:r>
        <w:rPr>
          <w:rFonts w:hint="eastAsia" w:ascii="宋体" w:hAnsi="宋体" w:cs="Arial"/>
          <w:szCs w:val="21"/>
        </w:rPr>
        <w:t>根据高等学校本科专业《公共管理类教学质量国家</w:t>
      </w:r>
      <w:r>
        <w:rPr>
          <w:rFonts w:ascii="宋体" w:hAnsi="宋体" w:cs="Arial"/>
          <w:szCs w:val="21"/>
        </w:rPr>
        <w:t>标准</w:t>
      </w:r>
      <w:r>
        <w:rPr>
          <w:rFonts w:hint="eastAsia" w:ascii="宋体" w:hAnsi="宋体" w:cs="Arial"/>
          <w:szCs w:val="21"/>
        </w:rPr>
        <w:t>》</w:t>
      </w:r>
      <w:r>
        <w:rPr>
          <w:rFonts w:ascii="宋体" w:hAnsi="宋体" w:cs="Arial"/>
          <w:szCs w:val="21"/>
        </w:rPr>
        <w:t>，课程体系包括思想政治理论课程、通识类课程、专业类课程和实践课程。</w:t>
      </w:r>
    </w:p>
    <w:p>
      <w:pPr>
        <w:pStyle w:val="13"/>
        <w:widowControl/>
        <w:spacing w:line="400" w:lineRule="exact"/>
        <w:rPr>
          <w:rFonts w:ascii="宋体" w:hAnsi="宋体" w:cs="Arial"/>
          <w:szCs w:val="21"/>
        </w:rPr>
      </w:pPr>
      <w:r>
        <w:rPr>
          <w:rFonts w:ascii="宋体" w:hAnsi="宋体" w:cs="Arial"/>
          <w:szCs w:val="21"/>
        </w:rPr>
        <w:t>专业类课程分为</w:t>
      </w:r>
      <w:r>
        <w:rPr>
          <w:rFonts w:hint="eastAsia" w:ascii="宋体" w:hAnsi="宋体" w:cs="Arial"/>
          <w:szCs w:val="21"/>
        </w:rPr>
        <w:t>专业必修课和专业选修课。专业必修课包括：专业核心课程（含</w:t>
      </w:r>
      <w:r>
        <w:rPr>
          <w:rFonts w:ascii="宋体" w:hAnsi="宋体" w:cs="Arial"/>
          <w:szCs w:val="21"/>
        </w:rPr>
        <w:t>学科基础课程、专业基础课程</w:t>
      </w:r>
      <w:r>
        <w:rPr>
          <w:rFonts w:hint="eastAsia" w:ascii="宋体" w:hAnsi="宋体" w:cs="Arial"/>
          <w:szCs w:val="21"/>
        </w:rPr>
        <w:t>）、</w:t>
      </w:r>
      <w:r>
        <w:rPr>
          <w:rFonts w:ascii="宋体" w:hAnsi="宋体" w:cs="Arial"/>
          <w:szCs w:val="21"/>
        </w:rPr>
        <w:t>专业</w:t>
      </w:r>
      <w:r>
        <w:rPr>
          <w:rFonts w:hint="eastAsia" w:ascii="宋体" w:hAnsi="宋体" w:cs="Arial"/>
          <w:szCs w:val="21"/>
        </w:rPr>
        <w:t>方向</w:t>
      </w:r>
      <w:r>
        <w:rPr>
          <w:rFonts w:ascii="宋体" w:hAnsi="宋体" w:cs="Arial"/>
          <w:szCs w:val="21"/>
        </w:rPr>
        <w:t>课程</w:t>
      </w:r>
      <w:r>
        <w:rPr>
          <w:rFonts w:hint="eastAsia" w:ascii="宋体" w:hAnsi="宋体" w:cs="Arial"/>
          <w:szCs w:val="21"/>
        </w:rPr>
        <w:t>、毕业论文/设计和劳动教育。专业选修课包括：专业指定选修课和专业任意选修课。</w:t>
      </w:r>
    </w:p>
    <w:p>
      <w:pPr>
        <w:pStyle w:val="13"/>
        <w:widowControl/>
        <w:spacing w:before="156" w:beforeLines="50" w:after="156" w:afterLines="50" w:line="360" w:lineRule="auto"/>
        <w:ind w:firstLine="422"/>
        <w:rPr>
          <w:rFonts w:ascii="仿宋" w:hAnsi="仿宋" w:eastAsia="仿宋" w:cs="Arial"/>
          <w:b/>
          <w:bCs/>
        </w:rPr>
      </w:pPr>
      <w:r>
        <w:rPr>
          <w:rFonts w:hint="eastAsia" w:ascii="仿宋" w:hAnsi="仿宋" w:eastAsia="仿宋" w:cs="Arial"/>
          <w:b/>
          <w:bCs/>
        </w:rPr>
        <w:t>1.</w:t>
      </w:r>
      <w:r>
        <w:rPr>
          <w:rFonts w:ascii="仿宋" w:hAnsi="仿宋" w:eastAsia="仿宋" w:cs="Arial"/>
          <w:b/>
          <w:bCs/>
        </w:rPr>
        <w:t xml:space="preserve"> </w:t>
      </w:r>
      <w:r>
        <w:rPr>
          <w:rFonts w:hint="eastAsia" w:ascii="仿宋" w:hAnsi="仿宋" w:eastAsia="仿宋" w:cs="Arial"/>
          <w:b/>
          <w:bCs/>
        </w:rPr>
        <w:t>专业必修课</w:t>
      </w:r>
    </w:p>
    <w:p>
      <w:pPr>
        <w:pStyle w:val="13"/>
        <w:widowControl/>
        <w:spacing w:line="360" w:lineRule="auto"/>
        <w:ind w:firstLine="422"/>
        <w:rPr>
          <w:rFonts w:ascii="仿宋" w:hAnsi="仿宋" w:eastAsia="仿宋" w:cs="Arial"/>
          <w:b/>
          <w:bCs/>
        </w:rPr>
      </w:pPr>
      <w:r>
        <w:rPr>
          <w:rFonts w:hint="eastAsia" w:ascii="仿宋" w:hAnsi="仿宋" w:eastAsia="仿宋" w:cs="Arial"/>
          <w:b/>
          <w:bCs/>
        </w:rPr>
        <w:t>（1）专业核心课程（8门，2</w:t>
      </w:r>
      <w:r>
        <w:rPr>
          <w:rFonts w:ascii="仿宋" w:hAnsi="仿宋" w:eastAsia="仿宋" w:cs="Arial"/>
          <w:b/>
          <w:bCs/>
        </w:rPr>
        <w:t>4</w:t>
      </w:r>
      <w:r>
        <w:rPr>
          <w:rFonts w:hint="eastAsia" w:ascii="仿宋" w:hAnsi="仿宋" w:eastAsia="仿宋" w:cs="Arial"/>
          <w:b/>
          <w:bCs/>
        </w:rPr>
        <w:t>学分）：</w:t>
      </w:r>
    </w:p>
    <w:p>
      <w:pPr>
        <w:pStyle w:val="6"/>
        <w:spacing w:before="0" w:beforeAutospacing="0" w:after="0" w:afterAutospacing="0" w:line="400" w:lineRule="exact"/>
        <w:ind w:firstLine="420" w:firstLineChars="200"/>
        <w:jc w:val="both"/>
        <w:rPr>
          <w:rFonts w:ascii="Arial" w:hAnsi="Arial" w:cs="Arial"/>
          <w:sz w:val="21"/>
          <w:szCs w:val="21"/>
        </w:rPr>
      </w:pPr>
      <w:r>
        <w:rPr>
          <w:rFonts w:ascii="Arial" w:hAnsi="Arial" w:cs="Arial"/>
          <w:sz w:val="21"/>
          <w:szCs w:val="21"/>
        </w:rPr>
        <w:t>管理学原理、公共管理导论、健康管理学、健康保险学</w:t>
      </w:r>
      <w:r>
        <w:rPr>
          <w:rFonts w:hint="eastAsia" w:ascii="Arial" w:hAnsi="Arial" w:cs="Arial"/>
          <w:sz w:val="21"/>
          <w:szCs w:val="21"/>
        </w:rPr>
        <w:t>、</w:t>
      </w:r>
      <w:r>
        <w:rPr>
          <w:rFonts w:ascii="Arial" w:hAnsi="Arial" w:cs="Arial"/>
          <w:sz w:val="21"/>
          <w:szCs w:val="21"/>
        </w:rPr>
        <w:t>健康信息管理</w:t>
      </w:r>
      <w:r>
        <w:rPr>
          <w:rFonts w:hint="eastAsia" w:ascii="Arial" w:hAnsi="Arial" w:cs="Arial"/>
          <w:sz w:val="21"/>
          <w:szCs w:val="21"/>
        </w:rPr>
        <w:t>、</w:t>
      </w:r>
      <w:r>
        <w:rPr>
          <w:rFonts w:ascii="Arial" w:hAnsi="Arial" w:cs="Arial"/>
          <w:sz w:val="21"/>
          <w:szCs w:val="21"/>
        </w:rPr>
        <w:t>社会学概论</w:t>
      </w:r>
      <w:r>
        <w:rPr>
          <w:rFonts w:hint="eastAsia" w:ascii="Arial" w:hAnsi="Arial" w:cs="Arial"/>
          <w:sz w:val="21"/>
          <w:szCs w:val="21"/>
        </w:rPr>
        <w:t>、大数据分析与应用</w:t>
      </w:r>
      <w:r>
        <w:rPr>
          <w:rFonts w:ascii="Arial" w:hAnsi="Arial" w:cs="Arial"/>
          <w:sz w:val="21"/>
          <w:szCs w:val="21"/>
        </w:rPr>
        <w:t>、</w:t>
      </w:r>
      <w:r>
        <w:rPr>
          <w:rFonts w:hint="eastAsia" w:ascii="Arial" w:hAnsi="Arial" w:cs="Arial"/>
          <w:sz w:val="21"/>
          <w:szCs w:val="21"/>
        </w:rPr>
        <w:t>医学</w:t>
      </w:r>
      <w:r>
        <w:rPr>
          <w:rFonts w:ascii="Arial" w:hAnsi="Arial" w:cs="Arial"/>
          <w:sz w:val="21"/>
          <w:szCs w:val="21"/>
        </w:rPr>
        <w:t>伦理学</w:t>
      </w:r>
    </w:p>
    <w:p>
      <w:pPr>
        <w:pStyle w:val="6"/>
        <w:spacing w:before="0" w:beforeAutospacing="0" w:after="0" w:afterAutospacing="0" w:line="400" w:lineRule="exact"/>
        <w:ind w:firstLine="420" w:firstLineChars="200"/>
        <w:jc w:val="both"/>
        <w:rPr>
          <w:rFonts w:ascii="Arial" w:hAnsi="Arial" w:cs="Arial"/>
          <w:sz w:val="21"/>
          <w:szCs w:val="21"/>
        </w:rPr>
      </w:pPr>
    </w:p>
    <w:p>
      <w:pPr>
        <w:pStyle w:val="6"/>
        <w:spacing w:before="0" w:beforeAutospacing="0" w:after="0" w:afterAutospacing="0" w:line="400" w:lineRule="exact"/>
        <w:ind w:firstLine="482" w:firstLineChars="200"/>
        <w:jc w:val="both"/>
        <w:rPr>
          <w:rFonts w:ascii="仿宋" w:hAnsi="仿宋" w:eastAsia="仿宋" w:cs="Arial"/>
          <w:b/>
          <w:bCs/>
        </w:rPr>
      </w:pPr>
      <w:r>
        <w:rPr>
          <w:rFonts w:hint="eastAsia" w:ascii="仿宋" w:hAnsi="仿宋" w:eastAsia="仿宋" w:cs="Arial"/>
          <w:b/>
          <w:bCs/>
        </w:rPr>
        <w:t>（2）</w:t>
      </w:r>
      <w:r>
        <w:rPr>
          <w:rFonts w:ascii="仿宋" w:hAnsi="仿宋" w:eastAsia="仿宋" w:cs="Arial"/>
          <w:b/>
          <w:bCs/>
        </w:rPr>
        <w:t>专业</w:t>
      </w:r>
      <w:r>
        <w:rPr>
          <w:rFonts w:hint="eastAsia" w:ascii="仿宋" w:hAnsi="仿宋" w:eastAsia="仿宋" w:cs="Arial"/>
          <w:b/>
          <w:bCs/>
        </w:rPr>
        <w:t>方向</w:t>
      </w:r>
      <w:r>
        <w:rPr>
          <w:rFonts w:ascii="仿宋" w:hAnsi="仿宋" w:eastAsia="仿宋" w:cs="Arial"/>
          <w:b/>
          <w:bCs/>
        </w:rPr>
        <w:t>课程</w:t>
      </w:r>
      <w:r>
        <w:rPr>
          <w:rFonts w:hint="eastAsia" w:ascii="仿宋" w:hAnsi="仿宋" w:eastAsia="仿宋" w:cs="Arial"/>
          <w:b/>
          <w:bCs/>
        </w:rPr>
        <w:t>（</w:t>
      </w:r>
      <w:r>
        <w:rPr>
          <w:rFonts w:ascii="仿宋" w:hAnsi="仿宋" w:eastAsia="仿宋" w:cs="Arial"/>
          <w:b/>
          <w:bCs/>
        </w:rPr>
        <w:t>9</w:t>
      </w:r>
      <w:r>
        <w:rPr>
          <w:rFonts w:hint="eastAsia" w:ascii="仿宋" w:hAnsi="仿宋" w:eastAsia="仿宋" w:cs="Arial"/>
          <w:b/>
          <w:bCs/>
        </w:rPr>
        <w:t>门，2</w:t>
      </w:r>
      <w:r>
        <w:rPr>
          <w:rFonts w:ascii="仿宋" w:hAnsi="仿宋" w:eastAsia="仿宋" w:cs="Arial"/>
          <w:b/>
          <w:bCs/>
        </w:rPr>
        <w:t>5</w:t>
      </w:r>
      <w:r>
        <w:rPr>
          <w:rFonts w:hint="eastAsia" w:ascii="仿宋" w:hAnsi="仿宋" w:eastAsia="仿宋" w:cs="Arial"/>
          <w:b/>
          <w:bCs/>
        </w:rPr>
        <w:t>学分）</w:t>
      </w:r>
      <w:r>
        <w:rPr>
          <w:rFonts w:ascii="仿宋" w:hAnsi="仿宋" w:eastAsia="仿宋" w:cs="Arial"/>
          <w:b/>
          <w:bCs/>
        </w:rPr>
        <w:t>：</w:t>
      </w:r>
    </w:p>
    <w:p>
      <w:pPr>
        <w:pStyle w:val="6"/>
        <w:spacing w:before="0" w:beforeAutospacing="0" w:after="0" w:afterAutospacing="0" w:line="400" w:lineRule="exact"/>
        <w:ind w:firstLine="420" w:firstLineChars="200"/>
        <w:jc w:val="both"/>
        <w:rPr>
          <w:rFonts w:ascii="Arial" w:hAnsi="Arial" w:cs="Arial"/>
          <w:sz w:val="21"/>
          <w:szCs w:val="21"/>
        </w:rPr>
      </w:pPr>
      <w:r>
        <w:rPr>
          <w:rFonts w:ascii="Arial" w:hAnsi="Arial" w:cs="Arial"/>
          <w:sz w:val="21"/>
          <w:szCs w:val="21"/>
        </w:rPr>
        <w:t>社会医学、预防医学、临床医学基础（诊断学、医技）、中医学（双语）</w:t>
      </w:r>
      <w:r>
        <w:rPr>
          <w:rFonts w:hint="eastAsia" w:ascii="Arial" w:hAnsi="Arial" w:cs="Arial"/>
          <w:sz w:val="21"/>
          <w:szCs w:val="21"/>
        </w:rPr>
        <w:t>、</w:t>
      </w:r>
      <w:r>
        <w:rPr>
          <w:rFonts w:ascii="Arial" w:hAnsi="Arial" w:cs="Arial"/>
          <w:sz w:val="21"/>
          <w:szCs w:val="21"/>
        </w:rPr>
        <w:t>政治学原理、民</w:t>
      </w:r>
      <w:r>
        <w:rPr>
          <w:rFonts w:hint="eastAsia" w:ascii="Arial" w:hAnsi="Arial" w:cs="Arial"/>
          <w:sz w:val="21"/>
          <w:szCs w:val="21"/>
        </w:rPr>
        <w:t>商法</w:t>
      </w:r>
      <w:r>
        <w:rPr>
          <w:rFonts w:ascii="Arial" w:hAnsi="Arial" w:cs="Arial"/>
          <w:sz w:val="21"/>
          <w:szCs w:val="21"/>
        </w:rPr>
        <w:t>、经济学</w:t>
      </w:r>
      <w:r>
        <w:rPr>
          <w:rFonts w:hint="eastAsia" w:ascii="Arial" w:hAnsi="Arial" w:cs="Arial"/>
          <w:sz w:val="21"/>
          <w:szCs w:val="21"/>
        </w:rPr>
        <w:t>原理</w:t>
      </w:r>
      <w:r>
        <w:rPr>
          <w:rFonts w:ascii="Arial" w:hAnsi="Arial" w:cs="Arial"/>
          <w:sz w:val="21"/>
          <w:szCs w:val="21"/>
        </w:rPr>
        <w:t>、健康经济学</w:t>
      </w:r>
      <w:r>
        <w:rPr>
          <w:rFonts w:hint="eastAsia" w:ascii="Arial" w:hAnsi="Arial" w:cs="Arial"/>
          <w:sz w:val="21"/>
          <w:szCs w:val="21"/>
        </w:rPr>
        <w:t>、健康管理与创新创业。</w:t>
      </w:r>
    </w:p>
    <w:p>
      <w:pPr>
        <w:pStyle w:val="6"/>
        <w:spacing w:before="156" w:beforeLines="50" w:beforeAutospacing="0" w:after="156" w:afterLines="50" w:afterAutospacing="0" w:line="400" w:lineRule="exact"/>
        <w:ind w:firstLine="482" w:firstLineChars="200"/>
        <w:jc w:val="both"/>
        <w:rPr>
          <w:rFonts w:ascii="仿宋" w:hAnsi="仿宋" w:eastAsia="仿宋" w:cs="Arial"/>
          <w:b/>
          <w:bCs/>
        </w:rPr>
      </w:pPr>
      <w:r>
        <w:rPr>
          <w:rFonts w:hint="eastAsia" w:ascii="仿宋" w:hAnsi="仿宋" w:eastAsia="仿宋" w:cs="Arial"/>
          <w:b/>
          <w:bCs/>
        </w:rPr>
        <w:t>2.</w:t>
      </w:r>
      <w:r>
        <w:rPr>
          <w:rFonts w:ascii="仿宋" w:hAnsi="仿宋" w:eastAsia="仿宋" w:cs="Arial"/>
          <w:b/>
          <w:bCs/>
        </w:rPr>
        <w:t xml:space="preserve"> </w:t>
      </w:r>
      <w:r>
        <w:rPr>
          <w:rFonts w:hint="eastAsia" w:ascii="仿宋" w:hAnsi="仿宋" w:eastAsia="仿宋" w:cs="Arial"/>
          <w:b/>
          <w:bCs/>
        </w:rPr>
        <w:t>专业选修课</w:t>
      </w:r>
    </w:p>
    <w:p>
      <w:pPr>
        <w:pStyle w:val="6"/>
        <w:spacing w:before="0" w:beforeAutospacing="0" w:after="0" w:afterAutospacing="0" w:line="400" w:lineRule="exact"/>
        <w:ind w:firstLine="482" w:firstLineChars="200"/>
        <w:jc w:val="both"/>
        <w:rPr>
          <w:rFonts w:ascii="仿宋" w:hAnsi="仿宋" w:eastAsia="仿宋" w:cs="Arial"/>
          <w:b/>
          <w:bCs/>
        </w:rPr>
      </w:pPr>
      <w:r>
        <w:rPr>
          <w:rFonts w:hint="eastAsia" w:ascii="仿宋" w:hAnsi="仿宋" w:eastAsia="仿宋" w:cs="Arial"/>
          <w:b/>
          <w:bCs/>
        </w:rPr>
        <w:t>（1）专业指定选修课（</w:t>
      </w:r>
      <w:r>
        <w:rPr>
          <w:rFonts w:ascii="仿宋" w:hAnsi="仿宋" w:eastAsia="仿宋" w:cs="Arial"/>
          <w:b/>
          <w:bCs/>
        </w:rPr>
        <w:t>2</w:t>
      </w:r>
      <w:r>
        <w:rPr>
          <w:rFonts w:hint="eastAsia" w:ascii="仿宋" w:hAnsi="仿宋" w:eastAsia="仿宋" w:cs="Arial"/>
          <w:b/>
          <w:bCs/>
        </w:rPr>
        <w:t>门，4学分）</w:t>
      </w:r>
    </w:p>
    <w:p>
      <w:pPr>
        <w:pStyle w:val="6"/>
        <w:spacing w:before="0" w:beforeAutospacing="0" w:after="0" w:afterAutospacing="0" w:line="400" w:lineRule="exact"/>
        <w:ind w:firstLine="630" w:firstLineChars="300"/>
        <w:jc w:val="both"/>
        <w:rPr>
          <w:rFonts w:ascii="Arial" w:hAnsi="Arial" w:cs="Arial"/>
          <w:sz w:val="21"/>
          <w:szCs w:val="21"/>
        </w:rPr>
      </w:pPr>
      <w:r>
        <w:rPr>
          <w:rFonts w:hint="eastAsia" w:ascii="Arial" w:hAnsi="Arial" w:cs="Arial"/>
          <w:sz w:val="21"/>
          <w:szCs w:val="21"/>
        </w:rPr>
        <w:t>大学人文基础、计算机应用基础。</w:t>
      </w:r>
    </w:p>
    <w:p>
      <w:pPr>
        <w:pStyle w:val="6"/>
        <w:spacing w:before="0" w:beforeAutospacing="0" w:after="0" w:afterAutospacing="0" w:line="400" w:lineRule="exact"/>
        <w:ind w:firstLine="482" w:firstLineChars="200"/>
        <w:jc w:val="both"/>
        <w:rPr>
          <w:rFonts w:ascii="仿宋" w:hAnsi="仿宋" w:eastAsia="仿宋" w:cs="Arial"/>
          <w:b/>
          <w:bCs/>
        </w:rPr>
      </w:pPr>
      <w:r>
        <w:rPr>
          <w:rFonts w:hint="eastAsia" w:ascii="仿宋" w:hAnsi="仿宋" w:eastAsia="仿宋" w:cs="Arial"/>
          <w:b/>
          <w:bCs/>
        </w:rPr>
        <w:t>（2）专业任意选修课（2</w:t>
      </w:r>
      <w:r>
        <w:rPr>
          <w:rFonts w:ascii="仿宋" w:hAnsi="仿宋" w:eastAsia="仿宋" w:cs="Arial"/>
          <w:b/>
          <w:bCs/>
        </w:rPr>
        <w:t>8</w:t>
      </w:r>
      <w:r>
        <w:rPr>
          <w:rFonts w:hint="eastAsia" w:ascii="仿宋" w:hAnsi="仿宋" w:eastAsia="仿宋" w:cs="Arial"/>
          <w:b/>
          <w:bCs/>
        </w:rPr>
        <w:t>门可选，需完成3</w:t>
      </w:r>
      <w:r>
        <w:rPr>
          <w:rFonts w:ascii="仿宋" w:hAnsi="仿宋" w:eastAsia="仿宋" w:cs="Arial"/>
          <w:b/>
          <w:bCs/>
        </w:rPr>
        <w:t>0</w:t>
      </w:r>
      <w:r>
        <w:rPr>
          <w:rFonts w:hint="eastAsia" w:ascii="仿宋" w:hAnsi="仿宋" w:eastAsia="仿宋" w:cs="Arial"/>
          <w:b/>
          <w:bCs/>
        </w:rPr>
        <w:t>学分以上）</w:t>
      </w:r>
    </w:p>
    <w:p>
      <w:pPr>
        <w:pStyle w:val="6"/>
        <w:spacing w:before="0" w:beforeAutospacing="0" w:after="0" w:afterAutospacing="0" w:line="400" w:lineRule="exact"/>
        <w:ind w:firstLine="420" w:firstLineChars="200"/>
        <w:jc w:val="both"/>
        <w:rPr>
          <w:rFonts w:ascii="Arial" w:hAnsi="Arial" w:cs="Arial"/>
          <w:sz w:val="21"/>
          <w:szCs w:val="21"/>
        </w:rPr>
      </w:pPr>
      <w:r>
        <w:rPr>
          <w:rFonts w:ascii="Arial" w:hAnsi="Arial" w:cs="Arial"/>
          <w:sz w:val="21"/>
          <w:szCs w:val="21"/>
        </w:rPr>
        <w:t>卫生统计学</w:t>
      </w:r>
      <w:r>
        <w:rPr>
          <w:rFonts w:hint="eastAsia" w:ascii="Arial" w:hAnsi="Arial" w:cs="Arial"/>
          <w:sz w:val="21"/>
          <w:szCs w:val="21"/>
        </w:rPr>
        <w:t>、</w:t>
      </w:r>
      <w:r>
        <w:rPr>
          <w:rFonts w:ascii="Arial" w:hAnsi="Arial" w:cs="Arial"/>
          <w:sz w:val="21"/>
          <w:szCs w:val="21"/>
        </w:rPr>
        <w:t>健康心理学、运动医学、营养学；中医养生学、中医导引学、中医养生适宜技术；健康教育与健康促进、健康管理与服务技能</w:t>
      </w:r>
      <w:r>
        <w:rPr>
          <w:rFonts w:hint="eastAsia" w:ascii="Arial" w:hAnsi="Arial" w:cs="Arial"/>
          <w:sz w:val="21"/>
          <w:szCs w:val="21"/>
        </w:rPr>
        <w:t>、中医营养学、运筹学、</w:t>
      </w:r>
      <w:r>
        <w:rPr>
          <w:rFonts w:ascii="Arial" w:hAnsi="Arial" w:cs="Arial"/>
          <w:sz w:val="21"/>
          <w:szCs w:val="21"/>
        </w:rPr>
        <w:t>健康评估、</w:t>
      </w:r>
      <w:r>
        <w:rPr>
          <w:rFonts w:hint="eastAsia" w:ascii="Arial" w:hAnsi="Arial" w:cs="Arial"/>
          <w:sz w:val="21"/>
          <w:szCs w:val="21"/>
        </w:rPr>
        <w:t>医疗健康信息技术、</w:t>
      </w:r>
      <w:r>
        <w:rPr>
          <w:rFonts w:ascii="Arial" w:hAnsi="Arial" w:cs="Arial"/>
          <w:sz w:val="21"/>
          <w:szCs w:val="21"/>
        </w:rPr>
        <w:t>公共政策</w:t>
      </w:r>
      <w:r>
        <w:rPr>
          <w:rFonts w:hint="eastAsia" w:ascii="Arial" w:hAnsi="Arial" w:cs="Arial"/>
          <w:sz w:val="21"/>
          <w:szCs w:val="21"/>
        </w:rPr>
        <w:t>分析</w:t>
      </w:r>
      <w:r>
        <w:rPr>
          <w:rFonts w:ascii="Arial" w:hAnsi="Arial" w:cs="Arial"/>
          <w:sz w:val="21"/>
          <w:szCs w:val="21"/>
        </w:rPr>
        <w:t>、旅游学概论、健康旅游学、</w:t>
      </w:r>
      <w:r>
        <w:rPr>
          <w:rFonts w:hint="eastAsia" w:ascii="Arial" w:hAnsi="Arial" w:cs="Arial"/>
          <w:sz w:val="21"/>
          <w:szCs w:val="21"/>
        </w:rPr>
        <w:t>音乐欣赏、艺术概论</w:t>
      </w:r>
      <w:r>
        <w:rPr>
          <w:rFonts w:ascii="Arial" w:hAnsi="Arial" w:cs="Arial"/>
          <w:sz w:val="21"/>
          <w:szCs w:val="21"/>
        </w:rPr>
        <w:t>、应用心理学、人体发育学、人体运动学、神经科学、康复心理学、康复评定学、运动疗法学、物理因子治疗学、作业治疗学、临床康复学、人体解剖学、组织胚胎学 、生理学、病理学、医学免疫学、医学微生物学、药理学、病理生理学</w:t>
      </w:r>
      <w:r>
        <w:rPr>
          <w:rFonts w:hint="eastAsia" w:ascii="Arial" w:hAnsi="Arial" w:cs="Arial"/>
          <w:sz w:val="21"/>
          <w:szCs w:val="21"/>
        </w:rPr>
        <w:t>、</w:t>
      </w:r>
      <w:r>
        <w:rPr>
          <w:rFonts w:ascii="Arial" w:hAnsi="Arial" w:cs="Arial"/>
          <w:sz w:val="21"/>
          <w:szCs w:val="21"/>
        </w:rPr>
        <w:t>应用文书写作</w:t>
      </w:r>
      <w:r>
        <w:rPr>
          <w:rFonts w:hint="eastAsia" w:ascii="Arial" w:hAnsi="Arial" w:cs="Arial"/>
          <w:sz w:val="21"/>
          <w:szCs w:val="21"/>
        </w:rPr>
        <w:t>。</w:t>
      </w:r>
    </w:p>
    <w:sectPr>
      <w:pgSz w:w="11906" w:h="16838"/>
      <w:pgMar w:top="1361" w:right="1361" w:bottom="1247"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4366B"/>
    <w:multiLevelType w:val="multilevel"/>
    <w:tmpl w:val="0994366B"/>
    <w:lvl w:ilvl="0" w:tentative="0">
      <w:start w:val="1"/>
      <w:numFmt w:val="decimal"/>
      <w:lvlText w:val="%1."/>
      <w:lvlJc w:val="left"/>
      <w:pPr>
        <w:ind w:left="630" w:hanging="420"/>
      </w:p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1">
    <w:nsid w:val="0C75233B"/>
    <w:multiLevelType w:val="multilevel"/>
    <w:tmpl w:val="0C75233B"/>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4C6C19F7"/>
    <w:multiLevelType w:val="multilevel"/>
    <w:tmpl w:val="4C6C19F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ED443EF"/>
    <w:multiLevelType w:val="multilevel"/>
    <w:tmpl w:val="5ED443EF"/>
    <w:lvl w:ilvl="0" w:tentative="0">
      <w:start w:val="1"/>
      <w:numFmt w:val="decimal"/>
      <w:lvlText w:val="(%1)"/>
      <w:lvlJc w:val="left"/>
      <w:pPr>
        <w:ind w:left="420" w:hanging="420"/>
      </w:pPr>
      <w:rPr>
        <w:rFonts w:hint="default" w:ascii="宋体" w:hAnsi="宋体" w:eastAsia="宋体"/>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1110A29"/>
    <w:multiLevelType w:val="multilevel"/>
    <w:tmpl w:val="61110A29"/>
    <w:lvl w:ilvl="0" w:tentative="0">
      <w:start w:val="1"/>
      <w:numFmt w:val="decimal"/>
      <w:lvlText w:val="%1."/>
      <w:lvlJc w:val="left"/>
      <w:pPr>
        <w:ind w:left="1122" w:hanging="420"/>
      </w:pPr>
      <w:rPr>
        <w:rFonts w:hint="eastAsia"/>
      </w:rPr>
    </w:lvl>
    <w:lvl w:ilvl="1" w:tentative="0">
      <w:start w:val="1"/>
      <w:numFmt w:val="lowerLetter"/>
      <w:lvlText w:val="%2)"/>
      <w:lvlJc w:val="left"/>
      <w:pPr>
        <w:ind w:left="1542" w:hanging="420"/>
      </w:pPr>
    </w:lvl>
    <w:lvl w:ilvl="2" w:tentative="0">
      <w:start w:val="1"/>
      <w:numFmt w:val="lowerRoman"/>
      <w:lvlText w:val="%3."/>
      <w:lvlJc w:val="right"/>
      <w:pPr>
        <w:ind w:left="1962" w:hanging="420"/>
      </w:pPr>
    </w:lvl>
    <w:lvl w:ilvl="3" w:tentative="0">
      <w:start w:val="1"/>
      <w:numFmt w:val="decimal"/>
      <w:lvlText w:val="%4."/>
      <w:lvlJc w:val="left"/>
      <w:pPr>
        <w:ind w:left="2382" w:hanging="420"/>
      </w:pPr>
    </w:lvl>
    <w:lvl w:ilvl="4" w:tentative="0">
      <w:start w:val="1"/>
      <w:numFmt w:val="lowerLetter"/>
      <w:lvlText w:val="%5)"/>
      <w:lvlJc w:val="left"/>
      <w:pPr>
        <w:ind w:left="2802" w:hanging="420"/>
      </w:pPr>
    </w:lvl>
    <w:lvl w:ilvl="5" w:tentative="0">
      <w:start w:val="1"/>
      <w:numFmt w:val="lowerRoman"/>
      <w:lvlText w:val="%6."/>
      <w:lvlJc w:val="right"/>
      <w:pPr>
        <w:ind w:left="3222" w:hanging="420"/>
      </w:pPr>
    </w:lvl>
    <w:lvl w:ilvl="6" w:tentative="0">
      <w:start w:val="1"/>
      <w:numFmt w:val="decimal"/>
      <w:lvlText w:val="%7."/>
      <w:lvlJc w:val="left"/>
      <w:pPr>
        <w:ind w:left="3642" w:hanging="420"/>
      </w:pPr>
    </w:lvl>
    <w:lvl w:ilvl="7" w:tentative="0">
      <w:start w:val="1"/>
      <w:numFmt w:val="lowerLetter"/>
      <w:lvlText w:val="%8)"/>
      <w:lvlJc w:val="left"/>
      <w:pPr>
        <w:ind w:left="4062" w:hanging="420"/>
      </w:pPr>
    </w:lvl>
    <w:lvl w:ilvl="8" w:tentative="0">
      <w:start w:val="1"/>
      <w:numFmt w:val="lowerRoman"/>
      <w:lvlText w:val="%9."/>
      <w:lvlJc w:val="right"/>
      <w:pPr>
        <w:ind w:left="4482" w:hanging="420"/>
      </w:pPr>
    </w:lvl>
  </w:abstractNum>
  <w:abstractNum w:abstractNumId="5">
    <w:nsid w:val="624E1E5B"/>
    <w:multiLevelType w:val="multilevel"/>
    <w:tmpl w:val="624E1E5B"/>
    <w:lvl w:ilvl="0" w:tentative="0">
      <w:start w:val="1"/>
      <w:numFmt w:val="decimal"/>
      <w:lvlText w:val="(%1)"/>
      <w:lvlJc w:val="left"/>
      <w:pPr>
        <w:ind w:left="851" w:hanging="426"/>
      </w:pPr>
      <w:rPr>
        <w:rFonts w:hint="default" w:ascii="宋体" w:hAnsi="宋体" w:eastAsia="宋体"/>
      </w:rPr>
    </w:lvl>
    <w:lvl w:ilvl="1" w:tentative="0">
      <w:start w:val="1"/>
      <w:numFmt w:val="lowerLetter"/>
      <w:lvlText w:val="%2)"/>
      <w:lvlJc w:val="left"/>
      <w:pPr>
        <w:ind w:left="1909" w:hanging="420"/>
      </w:pPr>
    </w:lvl>
    <w:lvl w:ilvl="2" w:tentative="0">
      <w:start w:val="1"/>
      <w:numFmt w:val="lowerRoman"/>
      <w:lvlText w:val="%3."/>
      <w:lvlJc w:val="right"/>
      <w:pPr>
        <w:ind w:left="2329" w:hanging="420"/>
      </w:pPr>
    </w:lvl>
    <w:lvl w:ilvl="3" w:tentative="0">
      <w:start w:val="1"/>
      <w:numFmt w:val="decimal"/>
      <w:lvlText w:val="%4."/>
      <w:lvlJc w:val="left"/>
      <w:pPr>
        <w:ind w:left="2749" w:hanging="420"/>
      </w:pPr>
    </w:lvl>
    <w:lvl w:ilvl="4" w:tentative="0">
      <w:start w:val="1"/>
      <w:numFmt w:val="lowerLetter"/>
      <w:lvlText w:val="%5)"/>
      <w:lvlJc w:val="left"/>
      <w:pPr>
        <w:ind w:left="3169" w:hanging="420"/>
      </w:pPr>
    </w:lvl>
    <w:lvl w:ilvl="5" w:tentative="0">
      <w:start w:val="1"/>
      <w:numFmt w:val="lowerRoman"/>
      <w:lvlText w:val="%6."/>
      <w:lvlJc w:val="right"/>
      <w:pPr>
        <w:ind w:left="3589" w:hanging="420"/>
      </w:pPr>
    </w:lvl>
    <w:lvl w:ilvl="6" w:tentative="0">
      <w:start w:val="1"/>
      <w:numFmt w:val="decimal"/>
      <w:lvlText w:val="%7."/>
      <w:lvlJc w:val="left"/>
      <w:pPr>
        <w:ind w:left="4009" w:hanging="420"/>
      </w:pPr>
    </w:lvl>
    <w:lvl w:ilvl="7" w:tentative="0">
      <w:start w:val="1"/>
      <w:numFmt w:val="lowerLetter"/>
      <w:lvlText w:val="%8)"/>
      <w:lvlJc w:val="left"/>
      <w:pPr>
        <w:ind w:left="4429" w:hanging="420"/>
      </w:pPr>
    </w:lvl>
    <w:lvl w:ilvl="8" w:tentative="0">
      <w:start w:val="1"/>
      <w:numFmt w:val="lowerRoman"/>
      <w:lvlText w:val="%9."/>
      <w:lvlJc w:val="right"/>
      <w:pPr>
        <w:ind w:left="4849" w:hanging="420"/>
      </w:pPr>
    </w:lvl>
  </w:abstractNum>
  <w:abstractNum w:abstractNumId="6">
    <w:nsid w:val="771A7452"/>
    <w:multiLevelType w:val="multilevel"/>
    <w:tmpl w:val="771A7452"/>
    <w:lvl w:ilvl="0" w:tentative="0">
      <w:start w:val="1"/>
      <w:numFmt w:val="decimal"/>
      <w:lvlText w:val="(%1)"/>
      <w:lvlJc w:val="left"/>
      <w:pPr>
        <w:ind w:left="851" w:hanging="426"/>
      </w:pPr>
      <w:rPr>
        <w:rFonts w:hint="default" w:ascii="宋体" w:hAnsi="宋体" w:eastAsia="宋体"/>
      </w:rPr>
    </w:lvl>
    <w:lvl w:ilvl="1" w:tentative="0">
      <w:start w:val="1"/>
      <w:numFmt w:val="lowerLetter"/>
      <w:lvlText w:val="%2)"/>
      <w:lvlJc w:val="left"/>
      <w:pPr>
        <w:ind w:left="1909" w:hanging="420"/>
      </w:pPr>
    </w:lvl>
    <w:lvl w:ilvl="2" w:tentative="0">
      <w:start w:val="1"/>
      <w:numFmt w:val="lowerRoman"/>
      <w:lvlText w:val="%3."/>
      <w:lvlJc w:val="right"/>
      <w:pPr>
        <w:ind w:left="2329" w:hanging="420"/>
      </w:pPr>
    </w:lvl>
    <w:lvl w:ilvl="3" w:tentative="0">
      <w:start w:val="1"/>
      <w:numFmt w:val="decimal"/>
      <w:lvlText w:val="%4."/>
      <w:lvlJc w:val="left"/>
      <w:pPr>
        <w:ind w:left="2749" w:hanging="420"/>
      </w:pPr>
    </w:lvl>
    <w:lvl w:ilvl="4" w:tentative="0">
      <w:start w:val="1"/>
      <w:numFmt w:val="lowerLetter"/>
      <w:lvlText w:val="%5)"/>
      <w:lvlJc w:val="left"/>
      <w:pPr>
        <w:ind w:left="3169" w:hanging="420"/>
      </w:pPr>
    </w:lvl>
    <w:lvl w:ilvl="5" w:tentative="0">
      <w:start w:val="1"/>
      <w:numFmt w:val="lowerRoman"/>
      <w:lvlText w:val="%6."/>
      <w:lvlJc w:val="right"/>
      <w:pPr>
        <w:ind w:left="3589" w:hanging="420"/>
      </w:pPr>
    </w:lvl>
    <w:lvl w:ilvl="6" w:tentative="0">
      <w:start w:val="1"/>
      <w:numFmt w:val="decimal"/>
      <w:lvlText w:val="%7."/>
      <w:lvlJc w:val="left"/>
      <w:pPr>
        <w:ind w:left="4009" w:hanging="420"/>
      </w:pPr>
    </w:lvl>
    <w:lvl w:ilvl="7" w:tentative="0">
      <w:start w:val="1"/>
      <w:numFmt w:val="lowerLetter"/>
      <w:lvlText w:val="%8)"/>
      <w:lvlJc w:val="left"/>
      <w:pPr>
        <w:ind w:left="4429" w:hanging="420"/>
      </w:pPr>
    </w:lvl>
    <w:lvl w:ilvl="8" w:tentative="0">
      <w:start w:val="1"/>
      <w:numFmt w:val="lowerRoman"/>
      <w:lvlText w:val="%9."/>
      <w:lvlJc w:val="right"/>
      <w:pPr>
        <w:ind w:left="4849" w:hanging="420"/>
      </w:pPr>
    </w:lvl>
  </w:abstractNum>
  <w:num w:numId="1">
    <w:abstractNumId w:val="2"/>
  </w:num>
  <w:num w:numId="2">
    <w:abstractNumId w:val="4"/>
  </w:num>
  <w:num w:numId="3">
    <w:abstractNumId w:val="1"/>
  </w:num>
  <w:num w:numId="4">
    <w:abstractNumId w:val="0"/>
  </w:num>
  <w:num w:numId="5">
    <w:abstractNumId w:val="3"/>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6E9"/>
    <w:rsid w:val="00015E99"/>
    <w:rsid w:val="00065983"/>
    <w:rsid w:val="000C7BFF"/>
    <w:rsid w:val="00134106"/>
    <w:rsid w:val="00191101"/>
    <w:rsid w:val="001F1FD1"/>
    <w:rsid w:val="00263916"/>
    <w:rsid w:val="00292B24"/>
    <w:rsid w:val="00317814"/>
    <w:rsid w:val="00353312"/>
    <w:rsid w:val="003926C5"/>
    <w:rsid w:val="00446C13"/>
    <w:rsid w:val="00452BC3"/>
    <w:rsid w:val="00454089"/>
    <w:rsid w:val="004713B1"/>
    <w:rsid w:val="00483097"/>
    <w:rsid w:val="004A4191"/>
    <w:rsid w:val="004D110B"/>
    <w:rsid w:val="004E4A31"/>
    <w:rsid w:val="00507B28"/>
    <w:rsid w:val="005F4EDD"/>
    <w:rsid w:val="006A7481"/>
    <w:rsid w:val="006B6CFB"/>
    <w:rsid w:val="006C5DCC"/>
    <w:rsid w:val="006D4340"/>
    <w:rsid w:val="007D01D9"/>
    <w:rsid w:val="008214C8"/>
    <w:rsid w:val="0084466C"/>
    <w:rsid w:val="009745DF"/>
    <w:rsid w:val="00A210E4"/>
    <w:rsid w:val="00A21FA2"/>
    <w:rsid w:val="00AA5C44"/>
    <w:rsid w:val="00B62EC9"/>
    <w:rsid w:val="00BE2AEF"/>
    <w:rsid w:val="00BF66E9"/>
    <w:rsid w:val="00CA28D5"/>
    <w:rsid w:val="00D07B8F"/>
    <w:rsid w:val="00D25A91"/>
    <w:rsid w:val="00E54828"/>
    <w:rsid w:val="00E649D2"/>
    <w:rsid w:val="00EE5987"/>
    <w:rsid w:val="00FB27B3"/>
    <w:rsid w:val="00FD16F4"/>
    <w:rsid w:val="2A326DD7"/>
    <w:rsid w:val="44C964EA"/>
    <w:rsid w:val="5AA64D68"/>
    <w:rsid w:val="7BBF6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link w:val="14"/>
    <w:qFormat/>
    <w:uiPriority w:val="0"/>
    <w:pPr>
      <w:widowControl/>
      <w:spacing w:before="180" w:after="180"/>
      <w:jc w:val="left"/>
    </w:pPr>
    <w:rPr>
      <w:rFonts w:ascii="Cambria" w:hAnsi="Cambria" w:eastAsia="宋体" w:cs="Times New Roman"/>
      <w:kern w:val="0"/>
      <w:sz w:val="24"/>
      <w:szCs w:val="24"/>
      <w:lang w:val="en" w:eastAsia="en-US"/>
    </w:rPr>
  </w:style>
  <w:style w:type="paragraph" w:styleId="3">
    <w:name w:val="Plain Text"/>
    <w:basedOn w:val="1"/>
    <w:link w:val="9"/>
    <w:uiPriority w:val="0"/>
    <w:rPr>
      <w:rFonts w:ascii="宋体" w:hAnsi="Courier New" w:eastAsia="宋体" w:cs="Courier New"/>
      <w:bCs/>
      <w:szCs w:val="21"/>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纯文本 字符1"/>
    <w:link w:val="3"/>
    <w:uiPriority w:val="0"/>
    <w:rPr>
      <w:rFonts w:ascii="宋体" w:hAnsi="Courier New" w:eastAsia="宋体" w:cs="Courier New"/>
      <w:bCs/>
      <w:szCs w:val="21"/>
    </w:rPr>
  </w:style>
  <w:style w:type="character" w:customStyle="1" w:styleId="10">
    <w:name w:val="纯文本 字符"/>
    <w:basedOn w:val="8"/>
    <w:uiPriority w:val="0"/>
    <w:rPr>
      <w:rFonts w:hAnsi="Courier New" w:cs="Courier New" w:asciiTheme="minorEastAsia"/>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正文文本 字符"/>
    <w:basedOn w:val="8"/>
    <w:link w:val="2"/>
    <w:uiPriority w:val="0"/>
    <w:rPr>
      <w:rFonts w:ascii="Cambria" w:hAnsi="Cambria" w:eastAsia="宋体" w:cs="Times New Roman"/>
      <w:sz w:val="24"/>
      <w:szCs w:val="24"/>
      <w:lang w:val="en"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754</Words>
  <Characters>4301</Characters>
  <Lines>35</Lines>
  <Paragraphs>10</Paragraphs>
  <TotalTime>19</TotalTime>
  <ScaleCrop>false</ScaleCrop>
  <LinksUpToDate>false</LinksUpToDate>
  <CharactersWithSpaces>5045</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2021-06-15T04:21:00Z</dcterms:created>
  <dc:creator>lenovo</dc:creator>
  <cp:lastModifiedBy>春晓</cp:lastModifiedBy>
  <cp:lastPrinted>2020-07-23T22:54:00Z</cp:lastPrinted>
  <dcterms:modified xsi:type="dcterms:W3CDTF">2021-07-27T05:58:15Z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A6355CE511EC41EB987983EB600C7C74</vt:lpwstr>
  </property>
</Properties>
</file>