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framePr w:wrap="auto" w:vAnchor="margin" w:hAnchor="text" w:yAlign="inline"/>
        <w:spacing w:line="360" w:lineRule="auto"/>
        <w:jc w:val="center"/>
        <w:outlineLvl w:val="0"/>
        <w:rPr>
          <w:rFonts w:hint="default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广州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南方学院</w:t>
      </w:r>
      <w:r>
        <w:rPr>
          <w:rFonts w:ascii="宋体" w:hAnsi="宋体" w:eastAsia="宋体" w:cs="宋体"/>
          <w:b/>
          <w:bCs/>
          <w:sz w:val="32"/>
          <w:szCs w:val="32"/>
          <w:lang w:val="zh-TW"/>
        </w:rPr>
        <w:t>模拟银行实验室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系统</w:t>
      </w:r>
      <w:r>
        <w:rPr>
          <w:rFonts w:ascii="宋体" w:hAnsi="宋体" w:eastAsia="宋体" w:cs="宋体"/>
          <w:b/>
          <w:bCs/>
          <w:sz w:val="32"/>
          <w:szCs w:val="32"/>
          <w:lang w:val="zh-TW"/>
        </w:rPr>
        <w:t>和硬件设备</w:t>
      </w:r>
      <w:r>
        <w:rPr>
          <w:rFonts w:ascii="宋体" w:hAnsi="宋体" w:eastAsia="宋体" w:cs="宋体"/>
          <w:b/>
          <w:bCs/>
          <w:sz w:val="32"/>
          <w:szCs w:val="32"/>
        </w:rPr>
        <w:t>采购</w:t>
      </w:r>
      <w:r>
        <w:rPr>
          <w:rFonts w:ascii="宋体" w:hAnsi="宋体" w:eastAsia="宋体" w:cs="宋体"/>
          <w:b/>
          <w:bCs/>
          <w:sz w:val="32"/>
          <w:szCs w:val="32"/>
          <w:lang w:val="zh-TW" w:eastAsia="zh-TW"/>
        </w:rPr>
        <w:t>需求书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 xml:space="preserve">    一、采购范围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数量清单如下</w:t>
      </w:r>
      <w:r>
        <w:rPr>
          <w:rFonts w:ascii="宋体" w:hAnsi="宋体" w:eastAsia="宋体" w:cs="宋体"/>
          <w:sz w:val="24"/>
          <w:szCs w:val="24"/>
          <w:lang w:val="zh-TW"/>
        </w:rPr>
        <w:t>：</w:t>
      </w:r>
    </w:p>
    <w:tbl>
      <w:tblPr>
        <w:tblStyle w:val="10"/>
        <w:tblW w:w="764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4526"/>
        <w:gridCol w:w="993"/>
        <w:gridCol w:w="1161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设备（货物）名称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单位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  <w:tc>
          <w:tcPr>
            <w:tcW w:w="4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lang w:val="zh-TW" w:eastAsia="zh-TW"/>
              </w:rPr>
            </w:pPr>
            <w:r>
              <w:rPr>
                <w:rFonts w:ascii="宋体" w:hAnsi="宋体" w:eastAsia="宋体" w:cs="宋体"/>
              </w:rPr>
              <w:t>商业银行模拟运营决策仿真系统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套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</w:tbl>
    <w:p>
      <w:pPr>
        <w:pStyle w:val="16"/>
        <w:framePr w:wrap="auto" w:vAnchor="margin" w:hAnchor="text" w:yAlign="inline"/>
        <w:ind w:firstLine="0"/>
        <w:jc w:val="center"/>
        <w:rPr>
          <w:rFonts w:hint="default" w:ascii="宋体" w:hAnsi="宋体" w:eastAsia="宋体" w:cs="宋体"/>
          <w:sz w:val="24"/>
          <w:szCs w:val="24"/>
        </w:rPr>
      </w:pP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供应商需完成如下事项：</w:t>
      </w:r>
    </w:p>
    <w:p>
      <w:pPr>
        <w:pStyle w:val="16"/>
        <w:framePr w:wrap="auto" w:vAnchor="margin" w:hAnchor="text" w:yAlign="inline"/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供应商报价需包括设备及相关附件的采购、包装、送货、安装、验收、培训、税费、技术服务（包括技术资料的提供）、保修期保障、其它费用等一切支出。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 xml:space="preserve">    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二、商务需求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对供应商的资格要求：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  <w:lang w:val="zh-TW"/>
        </w:rPr>
        <w:t>（1）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对供应商的资格要求：国内（指按国家有关规定要求注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册）</w:t>
      </w:r>
      <w:r>
        <w:rPr>
          <w:rFonts w:ascii="宋体" w:hAnsi="宋体" w:eastAsia="宋体" w:cs="宋体"/>
          <w:color w:val="auto"/>
          <w:sz w:val="24"/>
          <w:szCs w:val="24"/>
          <w:u w:color="FF0000"/>
          <w:lang w:val="zh-TW" w:eastAsia="zh-TW"/>
        </w:rPr>
        <w:t>注册资金</w:t>
      </w:r>
      <w:r>
        <w:rPr>
          <w:rFonts w:ascii="宋体" w:hAnsi="宋体" w:eastAsia="宋体" w:cs="宋体"/>
          <w:color w:val="FF0000"/>
          <w:sz w:val="24"/>
          <w:szCs w:val="24"/>
          <w:u w:color="FF0000"/>
        </w:rPr>
        <w:t>50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万元（含</w:t>
      </w:r>
      <w:r>
        <w:rPr>
          <w:rFonts w:ascii="宋体" w:hAnsi="宋体" w:eastAsia="宋体" w:cs="宋体"/>
          <w:color w:val="FF0000"/>
          <w:sz w:val="24"/>
          <w:szCs w:val="24"/>
        </w:rPr>
        <w:t>50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万元）以上，具备独立法人资格；具有履行合同所必须的设备和专业技术能力；提供近三年业绩清单；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  <w:u w:color="0000FF"/>
        </w:rPr>
      </w:pPr>
      <w:r>
        <w:rPr>
          <w:rFonts w:ascii="宋体" w:hAnsi="宋体" w:eastAsia="宋体" w:cs="宋体"/>
          <w:color w:val="auto"/>
          <w:sz w:val="24"/>
          <w:szCs w:val="24"/>
          <w:lang w:val="zh-TW"/>
        </w:rPr>
        <w:t>（2）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投标人的证明文件不符合标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“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★</w:t>
      </w:r>
      <w:r>
        <w:rPr>
          <w:rFonts w:ascii="宋体" w:hAnsi="宋体" w:eastAsia="宋体" w:cs="宋体"/>
          <w:color w:val="auto"/>
          <w:sz w:val="24"/>
          <w:szCs w:val="24"/>
          <w:lang w:val="zh-TW"/>
        </w:rPr>
        <w:t>”</w:t>
      </w:r>
      <w:r>
        <w:rPr>
          <w:rFonts w:hint="cs" w:ascii="宋体" w:hAnsi="宋体" w:eastAsia="宋体" w:cs="宋体"/>
          <w:color w:val="auto"/>
          <w:sz w:val="24"/>
          <w:szCs w:val="24"/>
          <w:lang w:val="zh-TW"/>
        </w:rPr>
        <w:t>的任一项的，则视为未实质响应招标要求，取消其投标资格。</w:t>
      </w:r>
    </w:p>
    <w:p>
      <w:pPr>
        <w:pStyle w:val="16"/>
        <w:framePr w:wrap="auto" w:vAnchor="margin" w:hAnchor="text" w:yAlign="inline"/>
        <w:spacing w:line="360" w:lineRule="auto"/>
        <w:ind w:firstLine="468"/>
        <w:rPr>
          <w:rFonts w:hint="default" w:ascii="宋体" w:hAnsi="宋体" w:eastAsia="宋体" w:cs="宋体"/>
          <w:color w:val="auto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color w:val="auto"/>
          <w:sz w:val="24"/>
          <w:szCs w:val="24"/>
        </w:rPr>
        <w:t>2.</w:t>
      </w:r>
      <w:r>
        <w:rPr>
          <w:rFonts w:ascii="宋体" w:hAnsi="宋体" w:eastAsia="宋体" w:cs="宋体"/>
          <w:color w:val="auto"/>
          <w:sz w:val="24"/>
          <w:szCs w:val="24"/>
          <w:lang w:val="zh-TW" w:eastAsia="zh-TW"/>
        </w:rPr>
        <w:t>软件产品必须拥有软件著作权登记证书，如是代理商投标则需提供软件制造厂商盖章的售后服务承诺。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软件制造厂商</w:t>
      </w:r>
      <w:r>
        <w:rPr>
          <w:rFonts w:ascii="宋体" w:hAnsi="宋体" w:eastAsia="宋体" w:cs="宋体"/>
          <w:sz w:val="24"/>
          <w:szCs w:val="24"/>
        </w:rPr>
        <w:t>提供的软件需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能够支撑采购方日常教学与师资培训的需要。</w:t>
      </w:r>
      <w:r>
        <w:rPr>
          <w:rFonts w:ascii="宋体" w:hAnsi="宋体" w:eastAsia="宋体" w:cs="宋体"/>
          <w:sz w:val="24"/>
          <w:szCs w:val="24"/>
        </w:rPr>
        <w:t xml:space="preserve"> 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color w:val="auto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hint="default" w:ascii="宋体" w:hAnsi="宋体" w:eastAsia="宋体" w:cs="宋体"/>
          <w:sz w:val="24"/>
          <w:szCs w:val="24"/>
        </w:rPr>
        <w:t>5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合同签字生效后，以甲方发出书面通知之日起，</w:t>
      </w:r>
      <w:r>
        <w:rPr>
          <w:rFonts w:ascii="宋体" w:hAnsi="宋体" w:eastAsia="宋体" w:cs="宋体"/>
          <w:sz w:val="24"/>
          <w:szCs w:val="24"/>
        </w:rPr>
        <w:t>15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个工作日内将货物运达目的地并安装完毕。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</w:t>
      </w:r>
      <w:r>
        <w:rPr>
          <w:rFonts w:hint="default" w:ascii="宋体" w:hAnsi="宋体" w:eastAsia="宋体" w:cs="宋体"/>
          <w:sz w:val="24"/>
          <w:szCs w:val="24"/>
        </w:rPr>
        <w:t>6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付款方式：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 xml:space="preserve">    （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）工程安装完工后，甲乙双方办理正式竣工验收及结算手续后，甲方于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个工作日内支付结算款的</w:t>
      </w:r>
      <w:r>
        <w:rPr>
          <w:rFonts w:ascii="宋体" w:hAnsi="宋体" w:eastAsia="宋体" w:cs="宋体"/>
          <w:sz w:val="24"/>
          <w:szCs w:val="24"/>
        </w:rPr>
        <w:t>95%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。</w:t>
      </w:r>
    </w:p>
    <w:p>
      <w:pPr>
        <w:pStyle w:val="16"/>
        <w:framePr w:wrap="auto" w:vAnchor="margin" w:hAnchor="text" w:yAlign="inline"/>
        <w:spacing w:line="360" w:lineRule="auto"/>
        <w:ind w:firstLine="480"/>
        <w:rPr>
          <w:rFonts w:hint="default" w:ascii="宋体" w:hAnsi="宋体" w:eastAsia="宋体" w:cs="宋体"/>
          <w:b/>
          <w:bCs/>
          <w:sz w:val="24"/>
          <w:szCs w:val="24"/>
          <w:lang w:val="zh-TW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134" w:right="1440" w:bottom="1134" w:left="1318" w:header="851" w:footer="992" w:gutter="0"/>
          <w:cols w:space="720" w:num="1"/>
        </w:sect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（</w:t>
      </w:r>
      <w:r>
        <w:rPr>
          <w:rFonts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）余款</w:t>
      </w:r>
      <w:r>
        <w:rPr>
          <w:rFonts w:ascii="宋体" w:hAnsi="宋体" w:eastAsia="宋体" w:cs="宋体"/>
          <w:sz w:val="24"/>
          <w:szCs w:val="24"/>
        </w:rPr>
        <w:t>5%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作为质量保证金，甲方在</w:t>
      </w: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年产品质量保证期满后</w:t>
      </w:r>
      <w:r>
        <w:rPr>
          <w:rFonts w:ascii="宋体" w:hAnsi="宋体" w:eastAsia="宋体" w:cs="宋体"/>
          <w:sz w:val="24"/>
          <w:szCs w:val="24"/>
        </w:rPr>
        <w:t>10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个工作日内无息向乙方结清余下货款。</w:t>
      </w:r>
    </w:p>
    <w:p>
      <w:pPr>
        <w:pStyle w:val="16"/>
        <w:framePr w:wrap="auto" w:vAnchor="margin" w:hAnchor="text" w:yAlign="inline"/>
        <w:numPr>
          <w:ilvl w:val="0"/>
          <w:numId w:val="2"/>
        </w:numPr>
        <w:spacing w:line="360" w:lineRule="auto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技术参数及要求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  <w:lang w:val="zh-TW" w:eastAsia="zh-TW"/>
        </w:rPr>
      </w:pPr>
      <w:r>
        <w:rPr>
          <w:rFonts w:ascii="宋体" w:hAnsi="宋体" w:eastAsia="宋体" w:cs="宋体"/>
          <w:sz w:val="24"/>
          <w:szCs w:val="24"/>
          <w:lang w:val="zh-TW" w:eastAsia="zh-TW"/>
        </w:rPr>
        <w:t>技术参数要求：</w:t>
      </w:r>
    </w:p>
    <w:tbl>
      <w:tblPr>
        <w:tblStyle w:val="10"/>
        <w:tblW w:w="1483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7"/>
        <w:gridCol w:w="1840"/>
        <w:gridCol w:w="10651"/>
        <w:gridCol w:w="818"/>
        <w:gridCol w:w="83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序号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名称</w:t>
            </w:r>
          </w:p>
        </w:tc>
        <w:tc>
          <w:tcPr>
            <w:tcW w:w="10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设备技术参数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</w:rPr>
              <w:t>/</w:t>
            </w: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性能要求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单位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auto"/>
                <w:kern w:val="0"/>
                <w:lang w:val="zh-TW" w:eastAsia="zh-TW"/>
              </w:rPr>
              <w:t>数量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</w:rPr>
              <w:t>1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jc w:val="center"/>
              <w:rPr>
                <w:rFonts w:hint="default"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</w:rPr>
              <w:t>商业银行模拟运营决策仿真系统</w:t>
            </w:r>
          </w:p>
        </w:tc>
        <w:tc>
          <w:tcPr>
            <w:tcW w:w="10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一、系统架构（加★号项需现场演示，否则不作为中标候选人）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（一）决策仿真系统架构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1．★系统包含商业银行团队、企业团队、央行/银监会团队，各团队必须分设不同角色完成操作。如只有商业银行团队，无企业团队和央行团队，视为无效应标。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2．★决策仿真系统各角色具有复杂的交互性，银行与企业之间存在密切的存贷、理财、结算、咨询、代理、投资等业务关系，企业之间存在土地、贷款、投资等交易与竞争关系，银行之间存在存款、贷款等交易与竞争关系，央行和银监会与其他各团队之间存在监管、货币与财政政策等宏观经济调控、土地等经济要素供给、市场需求调节等职能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3．系统地模拟中央银行对金融市场调控工具，包括央票、存贷基准利率、存款准备金率、再贷款利率等；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4．★较真实地模拟银监会对商业银行的分级监管，模拟商业银行对企业的信贷风险管控与评价。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5．★具有完全自主著作权，须提供加盖制造商鲜章的著作权复印件，且现场在“中国版权服务”微信公众号查验著作权真伪。否则应提供在“中国版权服务”微信公众号著作权核查结果截图并加盖制造商鲜章。如提供虚假著作权，将按虚假应标处罚。如知识产权属于个人所有，需同时提供知识产权所有人身份证复印件。如非制造厂商投标，需提供制造厂商授权函和售后服务承诺函原件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二、虚拟仿真模块参数（加★号项需现场演示，否则不作为中标候选人）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（一）教师端功能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宏观政策与外部环境】★:所有团队可以参加央行竞选，制定房价涨幅、市场流动性目标。央行组或老师可以在此设置宏观经济数据，包括存款准备金率、央票与国债的发行规模、房地产首付比例等。未当选小组可以参与央行指标预测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【实验运营】:此模块主要是对企业和银行运营过程的监管与控制，包括银行个人存款竞标、央票查询、国债竞标，企业土地竞标、订单竞标等模块。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个人存款竞标：查看各银行小组竞标存款的各项指标(营销费、上年末贷款余额、上年末存款余额、网点数量团队等）及结果。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央票、国债查询：查看各银行组对央票、国债的购买情况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土地竞标：各企业填写土地竞标单后，系统智能分派土地，查看各组获得土地数量、获得单价、应付款项。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订单竞标：所有小组竞标后，系统自动汇总数据，智能地分配订单，老师可在此模块查看各组竞标结果、报价、规划设计费比例、广告费等指标。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【绩效与成绩】:查看各组经营结果。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房地产综合评级：查看各组信贷评级得分。信贷评级主要通过九个指标来判定，包括高管道德、公司治理规范性、经营风格、政府关系、公司行业地位、净利润及增长额、经营性现金流量及增长额等。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商业银行综合评级：查看银行组评级得分。得分主要通过资本充足率、核心资本充足率、不良贷款率、拨备覆盖率、资本收益率、存贷比、超额准备金率、业务规范性等指标来形成。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（二）学生端功能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学生端分为商业银行和房地产企业两类角色。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商业银行学生端：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功能包括宏观调控模块、贷款模块、投融资模块、绩效管理模块四大模块。同时在一年运营中又另外涉及到了个人存款、存款准备金等业务。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【宏观调控模块】:商业银行可以参加央行竞选，当选后可以设置宏观经济数据。未当选可以查询当年的宏观经济数据并参与央行指标预测。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【贷款模块】包括对公贷款、消费贷款、再贷款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对公贷款：能够模拟现实中商业银行对公贷款的发放过程，包括银行贷款利率定价、中间业务收费定价、贷款审批过程。能够对房地产企业进行信贷综合评价，查询企业征信。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消费贷款：能够模拟房产消费贷款的办理过程（谈判额度、资金占用费）。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再贷款：银行资金流动性紧张时可以申请向中央银行再贷款。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【投融资模块】包括国债、对公存款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国债：通过报出购买溢价竞标购买国债，溢价率高者得。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对公存款：可以通过存款利息定价吸收对公存款，并约定违约条款。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信托：银行可购买企业发行的信托，可提前兑付。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【绩效管理模块】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商业银行绩效分析：系统可以自动统计并对比各商业银行净利润、新增贷款总量、当年中间业务净收入、当年主营业务收入、可用资金成本率、贷出资金收益率、累计吸收存款的市场占有率、贷款余额的市场占有率等信息，学生可以分析各组绩效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【个人存款】:各银行可以通过营销费、上年末贷款余额、上年末存款余额、网点数量竞标获得消费者手中的个人存款。并对获得的个人存款额度进行长期与短期存款的匹配，进行期限错配，规划好资金流动性。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【存款准备金】:按照中央银行规定的存款准备金率上交存款准备金。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房地产企业学生端：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功能包括宏观调控模块、贷款模块、投融资模块、绩效管理模块四大模块。同时在一年的运营中又另外涉及到了订单竞标与交付、房屋修建等业务。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【宏观调控模块】:房地产企业可以参加央行竞选，当选后可以设置宏观经济数据。未当选可以查询当年的宏观经济数据并参与央行指标预测。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【贷款模块】包括商业贷款、消费贷款等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商业贷款：能够模拟现实中办理贷款的过程，企业可以查到各银行贷款利率可谈判范围、中间业务收费、可贷资金，向银行申请贷款，提交贷款报告。对已有贷款进行管理，提前或到期还贷。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消费贷款：能够模拟房产消费贷款的办理，向银行申请当年销售房屋消费贷款额度，支付资金安排费。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【投融资模块】包括国债、对公存款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国债：通过报出购买溢价竞标购买国债，溢价率高者得。国债未到期可以提前兑付，按照要求支付费用。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对公存款：可以将手中闲置资金拿去银行办理对公存款，并约定提前支取等违约条款。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信托：企业可发行信托，其他企业和银行可购买，可提前兑付。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【绩效管理模块】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房地产企业绩效分析：系统能自动统计、对比各企业净利润、广告费、主营业务收入、每亩土地成本、商品房实际成交价、别墅实际成交价、市场占有率等信息，学生可以分析各组绩效。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【订单竞标与交付】:系统根据首付比例、房屋平均价格生成总的订单量，各公司通过别墅、商品房定价，规划设计费比例，广告费竞标商品房与别墅的订单。建房完成后按照订单交货。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三、培训与服务。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1、软件有国家发明专利或实用新型专利。提供加盖制造商鲜章的专利证书复印件，且现场在中国及多国专利审查信息查询网站核查知识产权真伪。如专利属于个人所有，需同时提供专利所有人的身份证复印件。如非制造厂商投标，需提供加盖制造厂家鲜章的授权函原件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2、软件已有配套出版社教材。现场提供教材原件。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3、原厂制造商为高新技术企业，须提供加盖制造商鲜章的高新技术企业证书复印件。</w:t>
            </w:r>
          </w:p>
          <w:p>
            <w:pPr>
              <w:pStyle w:val="19"/>
              <w:ind w:firstLine="0" w:firstLineChars="0"/>
              <w:rPr>
                <w:rFonts w:cs="仿宋" w:asciiTheme="minorEastAsia" w:hAnsiTheme="minorEastAsia"/>
                <w:bCs/>
                <w:kern w:val="0"/>
                <w:lang w:bidi="ar"/>
              </w:rPr>
            </w:pPr>
            <w:r>
              <w:rPr>
                <w:rFonts w:hint="eastAsia" w:cs="仿宋" w:asciiTheme="minorEastAsia" w:hAnsiTheme="minorEastAsia"/>
                <w:bCs/>
                <w:kern w:val="0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Fonts w:hint="eastAsia" w:cs="仿宋" w:asciiTheme="minorEastAsia" w:hAnsiTheme="minorEastAsia"/>
                <w:bCs/>
                <w:kern w:val="0"/>
                <w:lang w:bidi="ar"/>
              </w:rPr>
              <w:t>、软件中配有上课使用的教学PPT。需现场演示。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ascii="宋体" w:hAnsi="宋体" w:eastAsia="宋体" w:cs="宋体"/>
              </w:rPr>
              <w:t>套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6"/>
              <w:framePr w:wrap="auto" w:vAnchor="margin" w:hAnchor="text" w:yAlign="inline"/>
              <w:spacing w:line="360" w:lineRule="auto"/>
              <w:ind w:firstLine="0"/>
              <w:jc w:val="center"/>
              <w:rPr>
                <w:rFonts w:hint="default" w:cs="宋体" w:asciiTheme="minorEastAsia" w:hAnsiTheme="minorEastAsia" w:eastAsiaTheme="minorEastAsia"/>
                <w:color w:val="auto"/>
              </w:rPr>
            </w:pPr>
            <w:r>
              <w:rPr>
                <w:rFonts w:ascii="宋体" w:hAnsi="宋体" w:eastAsia="宋体" w:cs="宋体"/>
              </w:rPr>
              <w:t>1</w:t>
            </w:r>
          </w:p>
        </w:tc>
      </w:tr>
    </w:tbl>
    <w:p>
      <w:pPr>
        <w:pStyle w:val="16"/>
        <w:framePr w:wrap="auto" w:vAnchor="margin" w:hAnchor="text" w:yAlign="inline"/>
        <w:ind w:firstLine="0"/>
        <w:jc w:val="center"/>
        <w:rPr>
          <w:rFonts w:hint="default" w:ascii="宋体" w:hAnsi="宋体" w:eastAsia="宋体" w:cs="宋体"/>
          <w:sz w:val="24"/>
          <w:szCs w:val="24"/>
          <w:lang w:eastAsia="zh-TW"/>
        </w:rPr>
        <w:sectPr>
          <w:pgSz w:w="16840" w:h="11900" w:orient="landscape"/>
          <w:pgMar w:top="1315" w:right="1134" w:bottom="1440" w:left="1134" w:header="851" w:footer="992" w:gutter="0"/>
          <w:cols w:space="0" w:num="1"/>
        </w:sectPr>
      </w:pP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b/>
          <w:bCs/>
          <w:sz w:val="24"/>
          <w:szCs w:val="24"/>
          <w:lang w:val="zh-TW" w:eastAsia="zh-TW"/>
        </w:rPr>
      </w:pPr>
      <w:r>
        <w:rPr>
          <w:rFonts w:ascii="宋体" w:hAnsi="宋体" w:eastAsia="宋体"/>
          <w:b/>
        </w:rPr>
        <w:t>四、</w:t>
      </w:r>
      <w:r>
        <w:rPr>
          <w:rFonts w:ascii="宋体" w:hAnsi="宋体" w:eastAsia="宋体" w:cs="宋体"/>
          <w:b/>
          <w:bCs/>
          <w:sz w:val="24"/>
          <w:szCs w:val="24"/>
          <w:lang w:val="zh-TW" w:eastAsia="zh-TW"/>
        </w:rPr>
        <w:t>服务需求</w:t>
      </w:r>
    </w:p>
    <w:p>
      <w:pPr>
        <w:pStyle w:val="16"/>
        <w:framePr w:wrap="auto" w:vAnchor="margin" w:hAnchor="text" w:yAlign="inline"/>
        <w:spacing w:line="360" w:lineRule="auto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</w:rPr>
        <w:t>1.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乙方交付的产品质量保证期为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年，自该产品经甲方验收合格签字之日起算。</w:t>
      </w:r>
    </w:p>
    <w:p>
      <w:pPr>
        <w:pStyle w:val="16"/>
        <w:framePr w:wrap="auto" w:vAnchor="margin" w:hAnchor="text" w:yAlign="inline"/>
        <w:spacing w:line="360" w:lineRule="auto"/>
        <w:ind w:firstLine="240" w:firstLineChars="100"/>
        <w:jc w:val="left"/>
        <w:rPr>
          <w:rFonts w:hint="default" w:ascii="宋体" w:hAnsi="宋体" w:eastAsia="宋体" w:cs="宋体"/>
          <w:sz w:val="24"/>
          <w:szCs w:val="24"/>
          <w:lang w:val="zh-TW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自质量保证期到期之日起，由供应商提供不少于</w:t>
      </w:r>
      <w:r>
        <w:rPr>
          <w:rFonts w:ascii="宋体" w:hAnsi="宋体" w:eastAsia="宋体" w:cs="宋体"/>
          <w:sz w:val="24"/>
          <w:szCs w:val="24"/>
        </w:rPr>
        <w:t>3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年免费保修服务（另有特别说明的，按其要求执行）</w:t>
      </w:r>
      <w:r>
        <w:rPr>
          <w:rFonts w:ascii="宋体" w:hAnsi="宋体" w:eastAsia="宋体" w:cs="宋体"/>
          <w:sz w:val="24"/>
          <w:szCs w:val="24"/>
          <w:lang w:val="zh-TW"/>
        </w:rPr>
        <w:t>，</w:t>
      </w:r>
      <w:r>
        <w:rPr>
          <w:rFonts w:ascii="宋体" w:hAnsi="宋体" w:eastAsia="宋体" w:cs="宋体"/>
          <w:sz w:val="24"/>
          <w:szCs w:val="24"/>
          <w:lang w:val="zh-TW" w:eastAsia="zh-TW"/>
        </w:rPr>
        <w:t>免费保修期届满后，如甲方需要乙方继续提供维护服务，由甲乙双方另行协商。</w:t>
      </w:r>
    </w:p>
    <w:p>
      <w:pPr>
        <w:pStyle w:val="16"/>
        <w:framePr w:wrap="auto" w:vAnchor="margin" w:hAnchor="text" w:yAlign="inline"/>
        <w:spacing w:line="360" w:lineRule="auto"/>
        <w:ind w:firstLine="210" w:firstLineChars="100"/>
        <w:jc w:val="left"/>
        <w:rPr>
          <w:rFonts w:hint="default" w:ascii="宋体" w:hAnsi="宋体" w:eastAsia="宋体" w:cs="宋体"/>
          <w:lang w:val="zh-TW"/>
        </w:rPr>
      </w:pP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                                               </w:t>
      </w:r>
    </w:p>
    <w:p>
      <w:pPr>
        <w:pStyle w:val="16"/>
        <w:framePr w:wrap="auto" w:vAnchor="margin" w:hAnchor="text" w:yAlign="inline"/>
        <w:spacing w:line="360" w:lineRule="auto"/>
        <w:ind w:firstLine="0"/>
        <w:rPr>
          <w:rFonts w:hint="default" w:ascii="宋体" w:hAnsi="宋体" w:eastAsia="宋体" w:cs="宋体"/>
          <w:color w:val="0070C0"/>
          <w:u w:color="0070C0"/>
        </w:rPr>
      </w:pPr>
    </w:p>
    <w:sectPr>
      <w:headerReference r:id="rId9" w:type="default"/>
      <w:pgSz w:w="11900" w:h="16840"/>
      <w:pgMar w:top="1440" w:right="1134" w:bottom="1318" w:left="113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Malgun Gothic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/>
      <w:rPr>
        <w:rFonts w:hint="default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framePr w:wrap="auto" w:vAnchor="margin" w:hAnchor="text" w:yAlign="inline"/>
    </w:pPr>
  </w:p>
  <w:p>
    <w:pPr>
      <w:pStyle w:val="15"/>
      <w:framePr w:wrap="auto" w:vAnchor="margin" w:hAnchor="text" w:yAlign="inli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04F7C"/>
    <w:multiLevelType w:val="multilevel"/>
    <w:tmpl w:val="15504F7C"/>
    <w:lvl w:ilvl="0" w:tentative="0">
      <w:start w:val="1"/>
      <w:numFmt w:val="decimal"/>
      <w:suff w:val="space"/>
      <w:lvlText w:val="%1"/>
      <w:lvlJc w:val="left"/>
      <w:pPr>
        <w:ind w:left="432" w:hanging="432"/>
      </w:pPr>
      <w:rPr>
        <w:rFonts w:hint="default" w:ascii="Arial" w:hAnsi="Arial" w:eastAsia="宋体" w:cs="Arial"/>
        <w:b/>
        <w:i w:val="0"/>
        <w:sz w:val="32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2550" w:hanging="576"/>
      </w:pPr>
      <w:rPr>
        <w:rFonts w:hint="default" w:ascii="Arial" w:hAnsi="Arial" w:eastAsia="宋体" w:cs="Arial"/>
        <w:b/>
        <w:i w:val="0"/>
        <w:sz w:val="30"/>
        <w:szCs w:val="30"/>
      </w:rPr>
    </w:lvl>
    <w:lvl w:ilvl="2" w:tentative="0">
      <w:start w:val="1"/>
      <w:numFmt w:val="decimal"/>
      <w:suff w:val="space"/>
      <w:lvlText w:val="%1.%2.%3"/>
      <w:lvlJc w:val="left"/>
      <w:pPr>
        <w:ind w:left="1182" w:hanging="720"/>
      </w:pPr>
      <w:rPr>
        <w:rFonts w:hint="default" w:ascii="Arial" w:hAnsi="Arial" w:eastAsia="宋体" w:cs="Arial"/>
        <w:b/>
        <w:i w:val="0"/>
        <w:sz w:val="28"/>
      </w:rPr>
    </w:lvl>
    <w:lvl w:ilvl="3" w:tentative="0">
      <w:start w:val="1"/>
      <w:numFmt w:val="decimal"/>
      <w:suff w:val="space"/>
      <w:lvlText w:val="%1.%2.%3.%4"/>
      <w:lvlJc w:val="left"/>
      <w:pPr>
        <w:ind w:left="1224" w:hanging="1224"/>
      </w:pPr>
      <w:rPr>
        <w:rFonts w:hint="default" w:ascii="Times New Roman" w:hAnsi="Times New Roman" w:eastAsia="宋体" w:cs="Arial"/>
        <w:b/>
        <w:i w:val="0"/>
        <w:sz w:val="30"/>
        <w:szCs w:val="30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 w:ascii="Arial" w:hAnsi="Arial" w:eastAsia="宋体" w:cs="Arial"/>
        <w:b/>
        <w:i w:val="0"/>
        <w:sz w:val="21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6282AB40"/>
    <w:multiLevelType w:val="singleLevel"/>
    <w:tmpl w:val="6282AB40"/>
    <w:lvl w:ilvl="0" w:tentative="0">
      <w:start w:val="3"/>
      <w:numFmt w:val="chineseCounting"/>
      <w:suff w:val="nothing"/>
      <w:lvlText w:val="%1、"/>
      <w:lvlJc w:val="left"/>
      <w:pPr>
        <w:ind w:left="120" w:firstLine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28"/>
    <w:rsid w:val="000412AD"/>
    <w:rsid w:val="000756AE"/>
    <w:rsid w:val="0007675A"/>
    <w:rsid w:val="00085376"/>
    <w:rsid w:val="000868FA"/>
    <w:rsid w:val="0009319F"/>
    <w:rsid w:val="000A595B"/>
    <w:rsid w:val="000A6CF7"/>
    <w:rsid w:val="000C1A14"/>
    <w:rsid w:val="00101B81"/>
    <w:rsid w:val="00181645"/>
    <w:rsid w:val="0019309A"/>
    <w:rsid w:val="001B69F4"/>
    <w:rsid w:val="001C241F"/>
    <w:rsid w:val="001C2901"/>
    <w:rsid w:val="001C4FB4"/>
    <w:rsid w:val="001C5795"/>
    <w:rsid w:val="001D42E4"/>
    <w:rsid w:val="00266056"/>
    <w:rsid w:val="0029497E"/>
    <w:rsid w:val="002B19D1"/>
    <w:rsid w:val="002C0916"/>
    <w:rsid w:val="002C56C1"/>
    <w:rsid w:val="002E0867"/>
    <w:rsid w:val="002E1E7B"/>
    <w:rsid w:val="00324D0E"/>
    <w:rsid w:val="00384EE5"/>
    <w:rsid w:val="003C5449"/>
    <w:rsid w:val="003E4115"/>
    <w:rsid w:val="003F5A91"/>
    <w:rsid w:val="0040568B"/>
    <w:rsid w:val="00443915"/>
    <w:rsid w:val="00447FCD"/>
    <w:rsid w:val="00451901"/>
    <w:rsid w:val="004816CF"/>
    <w:rsid w:val="004973A2"/>
    <w:rsid w:val="00497E36"/>
    <w:rsid w:val="004B6F0D"/>
    <w:rsid w:val="004D1C27"/>
    <w:rsid w:val="004F0ACB"/>
    <w:rsid w:val="004F6D78"/>
    <w:rsid w:val="004F710F"/>
    <w:rsid w:val="0050174A"/>
    <w:rsid w:val="0054723C"/>
    <w:rsid w:val="00555DBC"/>
    <w:rsid w:val="00560200"/>
    <w:rsid w:val="005669C8"/>
    <w:rsid w:val="005E645B"/>
    <w:rsid w:val="005F28D2"/>
    <w:rsid w:val="00602728"/>
    <w:rsid w:val="0060356C"/>
    <w:rsid w:val="00683314"/>
    <w:rsid w:val="006C180B"/>
    <w:rsid w:val="00701DDA"/>
    <w:rsid w:val="00702C4D"/>
    <w:rsid w:val="007366A7"/>
    <w:rsid w:val="00746691"/>
    <w:rsid w:val="0077035F"/>
    <w:rsid w:val="00782222"/>
    <w:rsid w:val="007C3FBB"/>
    <w:rsid w:val="007F055E"/>
    <w:rsid w:val="0080031C"/>
    <w:rsid w:val="00803A42"/>
    <w:rsid w:val="00820AE6"/>
    <w:rsid w:val="00845591"/>
    <w:rsid w:val="00853CF9"/>
    <w:rsid w:val="00897AC9"/>
    <w:rsid w:val="008C3A83"/>
    <w:rsid w:val="00903938"/>
    <w:rsid w:val="009139B6"/>
    <w:rsid w:val="0091683F"/>
    <w:rsid w:val="00934757"/>
    <w:rsid w:val="009713A8"/>
    <w:rsid w:val="00982900"/>
    <w:rsid w:val="009B2643"/>
    <w:rsid w:val="009C1D47"/>
    <w:rsid w:val="00A076FD"/>
    <w:rsid w:val="00A55A4B"/>
    <w:rsid w:val="00A642EF"/>
    <w:rsid w:val="00A81BAF"/>
    <w:rsid w:val="00AB17A4"/>
    <w:rsid w:val="00AC3A27"/>
    <w:rsid w:val="00AF558F"/>
    <w:rsid w:val="00B27C3D"/>
    <w:rsid w:val="00B94D96"/>
    <w:rsid w:val="00BA71A7"/>
    <w:rsid w:val="00BB356B"/>
    <w:rsid w:val="00BB484B"/>
    <w:rsid w:val="00BB6A05"/>
    <w:rsid w:val="00BD7CBD"/>
    <w:rsid w:val="00C9628E"/>
    <w:rsid w:val="00CB3240"/>
    <w:rsid w:val="00D055A9"/>
    <w:rsid w:val="00D20C37"/>
    <w:rsid w:val="00D5279D"/>
    <w:rsid w:val="00D7062D"/>
    <w:rsid w:val="00D72808"/>
    <w:rsid w:val="00DE1987"/>
    <w:rsid w:val="00E00A62"/>
    <w:rsid w:val="00E134D1"/>
    <w:rsid w:val="00E16C52"/>
    <w:rsid w:val="00E232BD"/>
    <w:rsid w:val="00E5277A"/>
    <w:rsid w:val="00ED4A77"/>
    <w:rsid w:val="00EE38BF"/>
    <w:rsid w:val="00EE71AA"/>
    <w:rsid w:val="00F35AB9"/>
    <w:rsid w:val="00F83333"/>
    <w:rsid w:val="00F92208"/>
    <w:rsid w:val="00FA0099"/>
    <w:rsid w:val="00FC5AE0"/>
    <w:rsid w:val="00FD3391"/>
    <w:rsid w:val="01FC7814"/>
    <w:rsid w:val="10EF3323"/>
    <w:rsid w:val="1D045C32"/>
    <w:rsid w:val="1F832F7E"/>
    <w:rsid w:val="22FB58BE"/>
    <w:rsid w:val="240D46C8"/>
    <w:rsid w:val="26FA0C21"/>
    <w:rsid w:val="2C545CCD"/>
    <w:rsid w:val="386652BB"/>
    <w:rsid w:val="3EF778D4"/>
    <w:rsid w:val="416A342D"/>
    <w:rsid w:val="4182144E"/>
    <w:rsid w:val="44800139"/>
    <w:rsid w:val="4CE76A01"/>
    <w:rsid w:val="4E3E5821"/>
    <w:rsid w:val="52DC3E03"/>
    <w:rsid w:val="58820A0C"/>
    <w:rsid w:val="628C1B2E"/>
    <w:rsid w:val="65007DDE"/>
    <w:rsid w:val="74CC7BE3"/>
    <w:rsid w:val="75F147A5"/>
    <w:rsid w:val="7B18295D"/>
    <w:rsid w:val="7D9A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framePr w:wrap="around"/>
      <w:spacing w:before="340" w:after="330" w:line="578" w:lineRule="auto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framePr w:wrap="around"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28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framePr w:wrap="around"/>
      <w:autoSpaceDE w:val="0"/>
      <w:autoSpaceDN w:val="0"/>
      <w:adjustRightInd w:val="0"/>
      <w:jc w:val="left"/>
    </w:pPr>
    <w:rPr>
      <w:rFonts w:ascii="宋体" w:hAnsi="Tahoma"/>
      <w:sz w:val="28"/>
      <w:szCs w:val="20"/>
    </w:rPr>
  </w:style>
  <w:style w:type="paragraph" w:styleId="5">
    <w:name w:val="Plain Text"/>
    <w:basedOn w:val="1"/>
    <w:link w:val="23"/>
    <w:unhideWhenUsed/>
    <w:qFormat/>
    <w:uiPriority w:val="99"/>
    <w:pPr>
      <w:framePr w:wrap="around" w:yAlign="inline"/>
    </w:pPr>
    <w:rPr>
      <w:rFonts w:hint="default" w:ascii="Times New Roman" w:hAnsi="Times New Roman" w:eastAsia="宋体" w:cs="Times New Roman"/>
      <w:color w:val="auto"/>
      <w:szCs w:val="20"/>
    </w:rPr>
  </w:style>
  <w:style w:type="paragraph" w:styleId="6">
    <w:name w:val="Balloon Text"/>
    <w:basedOn w:val="1"/>
    <w:link w:val="22"/>
    <w:qFormat/>
    <w:uiPriority w:val="0"/>
    <w:pPr>
      <w:framePr w:wrap="around"/>
    </w:pPr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framePr w:wrap="around"/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framePr w:wrap="around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qFormat/>
    <w:uiPriority w:val="0"/>
    <w:pPr>
      <w:framePr w:wrap="around"/>
      <w:spacing w:before="240" w:after="60" w:line="312" w:lineRule="auto"/>
      <w:jc w:val="left"/>
      <w:outlineLvl w:val="1"/>
    </w:pPr>
    <w:rPr>
      <w:rFonts w:ascii="Calibri Light" w:hAnsi="Calibri Light"/>
      <w:b/>
      <w:bCs/>
      <w:kern w:val="28"/>
      <w:sz w:val="28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u w:val="single"/>
    </w:rPr>
  </w:style>
  <w:style w:type="table" w:customStyle="1" w:styleId="1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6">
    <w:name w:val="列出段落1"/>
    <w:qFormat/>
    <w:uiPriority w:val="0"/>
    <w:pPr>
      <w:framePr w:wrap="around" w:vAnchor="margin" w:hAnchor="text" w:y="1"/>
      <w:widowControl w:val="0"/>
      <w:ind w:firstLine="42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7">
    <w:name w:val="页眉 字符"/>
    <w:basedOn w:val="12"/>
    <w:link w:val="8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18">
    <w:name w:val="页脚 字符"/>
    <w:basedOn w:val="12"/>
    <w:link w:val="7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paragraph" w:styleId="19">
    <w:name w:val="List Paragraph"/>
    <w:basedOn w:val="1"/>
    <w:qFormat/>
    <w:uiPriority w:val="1"/>
    <w:pPr>
      <w:framePr w:wrap="around"/>
      <w:ind w:firstLine="420" w:firstLineChars="200"/>
    </w:pPr>
    <w:rPr>
      <w:rFonts w:hint="default" w:asciiTheme="minorHAnsi" w:hAnsiTheme="minorHAnsi" w:eastAsiaTheme="minorEastAsia" w:cstheme="minorBidi"/>
      <w:color w:val="auto"/>
      <w:szCs w:val="22"/>
    </w:rPr>
  </w:style>
  <w:style w:type="paragraph" w:customStyle="1" w:styleId="20">
    <w:name w:val="列出段落11"/>
    <w:basedOn w:val="1"/>
    <w:qFormat/>
    <w:uiPriority w:val="0"/>
    <w:pPr>
      <w:framePr w:wrap="around"/>
      <w:ind w:firstLine="420" w:firstLineChars="200"/>
    </w:pPr>
    <w:rPr>
      <w:rFonts w:hint="default" w:ascii="Calibri" w:hAnsi="Calibri" w:eastAsia="宋体" w:cs="黑体"/>
      <w:color w:val="auto"/>
      <w:szCs w:val="22"/>
    </w:rPr>
  </w:style>
  <w:style w:type="character" w:customStyle="1" w:styleId="21">
    <w:name w:val="标题1"/>
    <w:qFormat/>
    <w:uiPriority w:val="0"/>
    <w:rPr>
      <w:rFonts w:ascii="Tahoma" w:hAnsi="Tahoma"/>
      <w:sz w:val="24"/>
    </w:rPr>
  </w:style>
  <w:style w:type="character" w:customStyle="1" w:styleId="22">
    <w:name w:val="批注框文本 字符"/>
    <w:basedOn w:val="12"/>
    <w:link w:val="6"/>
    <w:qFormat/>
    <w:uiPriority w:val="0"/>
    <w:rPr>
      <w:rFonts w:ascii="Arial Unicode MS" w:hAnsi="Arial Unicode MS" w:eastAsia="Times New Roman" w:cs="Arial Unicode MS"/>
      <w:color w:val="000000"/>
      <w:kern w:val="2"/>
      <w:sz w:val="18"/>
      <w:szCs w:val="18"/>
      <w:u w:color="000000"/>
    </w:rPr>
  </w:style>
  <w:style w:type="character" w:customStyle="1" w:styleId="23">
    <w:name w:val="纯文本 字符"/>
    <w:basedOn w:val="12"/>
    <w:link w:val="5"/>
    <w:qFormat/>
    <w:uiPriority w:val="99"/>
    <w:rPr>
      <w:kern w:val="2"/>
      <w:sz w:val="21"/>
    </w:rPr>
  </w:style>
  <w:style w:type="paragraph" w:customStyle="1" w:styleId="24">
    <w:name w:val="Table Paragraph"/>
    <w:basedOn w:val="1"/>
    <w:qFormat/>
    <w:uiPriority w:val="1"/>
    <w:pPr>
      <w:framePr w:wrap="around" w:yAlign="inline"/>
    </w:pPr>
    <w:rPr>
      <w:rFonts w:hint="default" w:ascii="Calibri" w:hAnsi="Calibri" w:eastAsia="宋体" w:cs="Times New Roman"/>
      <w:color w:val="auto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24FD68-924B-49D0-AFC9-F6DFD9F68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774</Words>
  <Characters>4413</Characters>
  <Lines>36</Lines>
  <Paragraphs>10</Paragraphs>
  <TotalTime>56</TotalTime>
  <ScaleCrop>false</ScaleCrop>
  <LinksUpToDate>false</LinksUpToDate>
  <CharactersWithSpaces>5177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2020-12-03T01:33:00Z</dcterms:created>
  <dc:creator>Administrator</dc:creator>
  <cp:lastModifiedBy>Pc</cp:lastModifiedBy>
  <cp:lastPrinted>2019-12-11T08:20:00Z</cp:lastPrinted>
  <dcterms:modified xsi:type="dcterms:W3CDTF">2021-09-22T03:03:41Z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6D4818B0C8EA4A81ADDD046D5D55EFAD</vt:lpwstr>
  </property>
</Properties>
</file>