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2016年秋季发展对象培训班课程安排表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3"/>
        <w:tblW w:w="10547" w:type="dxa"/>
        <w:jc w:val="center"/>
        <w:tblInd w:w="-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99"/>
        <w:gridCol w:w="851"/>
        <w:gridCol w:w="1559"/>
        <w:gridCol w:w="1276"/>
        <w:gridCol w:w="1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课程类型</w:t>
            </w:r>
          </w:p>
        </w:tc>
        <w:tc>
          <w:tcPr>
            <w:tcW w:w="3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课程安排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辅导教师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上课地点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上课时间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理论课</w:t>
            </w:r>
          </w:p>
        </w:tc>
        <w:tc>
          <w:tcPr>
            <w:tcW w:w="38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入党常用文书写法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1班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5-201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9月24日（周六）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上午9:30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9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2班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5-202</w:t>
            </w: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9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党员的权利与义务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1班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5-201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9月24日（周六）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下午15:00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2班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李晓彤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5-202</w:t>
            </w: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9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中国共产党的性质、最高理想和根本宗旨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1班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5-201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9月25日（周日）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上午9:30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9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2班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胡敬成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5-202</w:t>
            </w: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9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小组讨论：大学生党员如何发挥模范带头作用？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1班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李晓彤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5-201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9月25日（周日）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下午15:00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9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2班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李凤如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5-202</w:t>
            </w: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实践课程</w:t>
            </w:r>
          </w:p>
        </w:tc>
        <w:tc>
          <w:tcPr>
            <w:tcW w:w="3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形式、主题不限（课题研究、实践活动等）</w:t>
            </w:r>
          </w:p>
        </w:tc>
        <w:tc>
          <w:tcPr>
            <w:tcW w:w="54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9月28日前，提交作业给党总支，党总支记得分。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结业考试</w:t>
            </w:r>
          </w:p>
        </w:tc>
        <w:tc>
          <w:tcPr>
            <w:tcW w:w="38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开卷考试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5-201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10月7日晚  19：30-21：00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9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5-202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10月7日晚  19：30-21：00</w:t>
            </w:r>
          </w:p>
        </w:tc>
      </w:tr>
    </w:tbl>
    <w:p>
      <w:pPr>
        <w:spacing w:before="156" w:beforeLines="50"/>
        <w:rPr>
          <w:rFonts w:hint="eastAsia"/>
        </w:rPr>
      </w:pPr>
      <w:r>
        <w:rPr>
          <w:rFonts w:hint="eastAsia"/>
        </w:rPr>
        <w:t>注：讲授一门课程时间：2个学时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B7A5E"/>
    <w:rsid w:val="317B7A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2016-09-22T01:15:00Z</dcterms:created>
  <dc:creator>qinyunzhou</dc:creator>
  <cp:lastModifiedBy>qinyunzhou</cp:lastModifiedBy>
  <dcterms:modified xsi:type="dcterms:W3CDTF">2016-09-22T01:15:22Z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